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4E7" w:rsidRDefault="005954E7" w:rsidP="005954E7">
      <w:pPr>
        <w:pStyle w:val="Bezmezer"/>
        <w:jc w:val="center"/>
        <w:rPr>
          <w:b/>
          <w:sz w:val="28"/>
          <w:szCs w:val="28"/>
          <w:lang w:eastAsia="cs-CZ"/>
        </w:rPr>
      </w:pPr>
    </w:p>
    <w:p w:rsidR="006D57E5" w:rsidRPr="005954E7" w:rsidRDefault="006D57E5" w:rsidP="005954E7">
      <w:pPr>
        <w:pStyle w:val="Bezmezer"/>
        <w:jc w:val="center"/>
        <w:rPr>
          <w:b/>
          <w:lang w:eastAsia="cs-CZ"/>
        </w:rPr>
      </w:pPr>
      <w:r w:rsidRPr="005954E7">
        <w:rPr>
          <w:b/>
          <w:lang w:eastAsia="cs-CZ"/>
        </w:rPr>
        <w:t>Školku každý rok nenajdou tisíce dětí, teď je 32.000 odmítnutých</w:t>
      </w:r>
    </w:p>
    <w:p w:rsidR="005954E7" w:rsidRPr="005954E7" w:rsidRDefault="005954E7" w:rsidP="00261A4F">
      <w:pPr>
        <w:pStyle w:val="Bezmezer"/>
        <w:jc w:val="both"/>
        <w:rPr>
          <w:b/>
          <w:lang w:eastAsia="cs-CZ"/>
        </w:rPr>
      </w:pPr>
    </w:p>
    <w:p w:rsidR="005954E7" w:rsidRPr="005954E7" w:rsidRDefault="005954E7" w:rsidP="00261A4F">
      <w:pPr>
        <w:pStyle w:val="Bezmezer"/>
        <w:jc w:val="both"/>
        <w:rPr>
          <w:b/>
          <w:sz w:val="28"/>
          <w:szCs w:val="28"/>
          <w:lang w:eastAsia="cs-CZ"/>
        </w:rPr>
      </w:pPr>
    </w:p>
    <w:p w:rsidR="006D57E5" w:rsidRDefault="006D57E5" w:rsidP="00261A4F">
      <w:pPr>
        <w:pStyle w:val="Bezmezer"/>
        <w:jc w:val="both"/>
        <w:rPr>
          <w:lang w:eastAsia="cs-CZ"/>
        </w:rPr>
      </w:pPr>
      <w:r w:rsidRPr="006D57E5">
        <w:rPr>
          <w:lang w:eastAsia="cs-CZ"/>
        </w:rPr>
        <w:t xml:space="preserve">Aktualizace: 01.06.2017 17:09 </w:t>
      </w:r>
      <w:r w:rsidRPr="00261A4F">
        <w:rPr>
          <w:lang w:eastAsia="cs-CZ"/>
        </w:rPr>
        <w:t>Vydáno: 01.</w:t>
      </w:r>
      <w:r w:rsidR="005954E7">
        <w:rPr>
          <w:lang w:eastAsia="cs-CZ"/>
        </w:rPr>
        <w:t xml:space="preserve"> </w:t>
      </w:r>
      <w:r w:rsidRPr="00261A4F">
        <w:rPr>
          <w:lang w:eastAsia="cs-CZ"/>
        </w:rPr>
        <w:t>06.</w:t>
      </w:r>
      <w:r w:rsidR="005954E7">
        <w:rPr>
          <w:lang w:eastAsia="cs-CZ"/>
        </w:rPr>
        <w:t xml:space="preserve"> </w:t>
      </w:r>
      <w:r w:rsidRPr="00261A4F">
        <w:rPr>
          <w:lang w:eastAsia="cs-CZ"/>
        </w:rPr>
        <w:t>2017, 16:54</w:t>
      </w:r>
      <w:r w:rsidRPr="006D57E5">
        <w:rPr>
          <w:lang w:eastAsia="cs-CZ"/>
        </w:rPr>
        <w:t xml:space="preserve"> </w:t>
      </w:r>
    </w:p>
    <w:p w:rsidR="005954E7" w:rsidRPr="006D57E5" w:rsidRDefault="005954E7" w:rsidP="00261A4F">
      <w:pPr>
        <w:pStyle w:val="Bezmezer"/>
        <w:jc w:val="both"/>
        <w:rPr>
          <w:lang w:eastAsia="cs-CZ"/>
        </w:rPr>
      </w:pPr>
    </w:p>
    <w:p w:rsidR="006D57E5" w:rsidRPr="00261A4F" w:rsidRDefault="006D57E5" w:rsidP="00261A4F">
      <w:pPr>
        <w:pStyle w:val="Bezmezer"/>
        <w:jc w:val="both"/>
        <w:rPr>
          <w:lang w:eastAsia="cs-CZ"/>
        </w:rPr>
      </w:pPr>
      <w:r w:rsidRPr="00261A4F">
        <w:rPr>
          <w:noProof/>
          <w:lang w:eastAsia="cs-CZ"/>
        </w:rPr>
        <w:drawing>
          <wp:inline distT="0" distB="0" distL="0" distR="0" wp14:anchorId="2D8C2C35" wp14:editId="7588A9F1">
            <wp:extent cx="4915822" cy="2556387"/>
            <wp:effectExtent l="0" t="0" r="0" b="0"/>
            <wp:docPr id="1" name="Obrázek 1" descr="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t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16020" cy="2556490"/>
                    </a:xfrm>
                    <a:prstGeom prst="rect">
                      <a:avLst/>
                    </a:prstGeom>
                    <a:noFill/>
                    <a:ln>
                      <a:noFill/>
                    </a:ln>
                  </pic:spPr>
                </pic:pic>
              </a:graphicData>
            </a:graphic>
          </wp:inline>
        </w:drawing>
      </w:r>
    </w:p>
    <w:p w:rsidR="006D57E5" w:rsidRDefault="006D57E5" w:rsidP="00261A4F">
      <w:pPr>
        <w:pStyle w:val="Bezmezer"/>
        <w:jc w:val="both"/>
        <w:rPr>
          <w:lang w:eastAsia="cs-CZ"/>
        </w:rPr>
      </w:pPr>
      <w:r w:rsidRPr="00261A4F">
        <w:rPr>
          <w:lang w:eastAsia="cs-CZ"/>
        </w:rPr>
        <w:t xml:space="preserve">Děti si hrají v mateřské školce. Ilustrační foto. ČTK/Taneček David </w:t>
      </w:r>
    </w:p>
    <w:p w:rsidR="00261A4F" w:rsidRPr="00261A4F" w:rsidRDefault="00261A4F" w:rsidP="00261A4F">
      <w:pPr>
        <w:pStyle w:val="Bezmezer"/>
        <w:jc w:val="both"/>
        <w:rPr>
          <w:lang w:eastAsia="cs-CZ"/>
        </w:rPr>
      </w:pPr>
    </w:p>
    <w:p w:rsidR="006D57E5" w:rsidRDefault="006D57E5" w:rsidP="00261A4F">
      <w:pPr>
        <w:pStyle w:val="Bezmezer"/>
        <w:jc w:val="both"/>
        <w:rPr>
          <w:lang w:eastAsia="cs-CZ"/>
        </w:rPr>
      </w:pPr>
      <w:r w:rsidRPr="006D57E5">
        <w:rPr>
          <w:lang w:eastAsia="cs-CZ"/>
        </w:rPr>
        <w:t xml:space="preserve">Praha - V Česku se každoročně do mateřských škol nedostanou tisíce dětí. V tomto školním roce zařízení musela odmítnout 32.000 žádostí. Proti školnímu roku 2013/2014 počet neúspěšných žadatelů klesl ale zhruba na polovinu. Vyplývá to z vládní zprávy o rovnosti žen a mužů za loňský rok. Podle statistik míst ve školkách přibylo, každý rok je ale také méně dětí. </w:t>
      </w:r>
    </w:p>
    <w:p w:rsidR="00261A4F" w:rsidRPr="006D57E5" w:rsidRDefault="00261A4F" w:rsidP="00261A4F">
      <w:pPr>
        <w:pStyle w:val="Bezmezer"/>
        <w:jc w:val="both"/>
        <w:rPr>
          <w:lang w:eastAsia="cs-CZ"/>
        </w:rPr>
      </w:pPr>
    </w:p>
    <w:p w:rsidR="006D57E5" w:rsidRDefault="006D57E5" w:rsidP="00261A4F">
      <w:pPr>
        <w:pStyle w:val="Bezmezer"/>
        <w:jc w:val="both"/>
        <w:rPr>
          <w:lang w:eastAsia="cs-CZ"/>
        </w:rPr>
      </w:pPr>
      <w:r w:rsidRPr="006D57E5">
        <w:rPr>
          <w:lang w:eastAsia="cs-CZ"/>
        </w:rPr>
        <w:t>"Počet odmítnutých žádostí o přijetí malých dětí do školek je velmi vysoký. ČR se stále ještě potýká s nedostatečnými kapacitami zařízení služeb péče o děti předškolního věku i přesto, že silné populační ročníky se začínají přesouvat do základních škol," uvádí vládní zpráva.</w:t>
      </w:r>
    </w:p>
    <w:p w:rsidR="00261A4F" w:rsidRPr="006D57E5" w:rsidRDefault="00261A4F" w:rsidP="00261A4F">
      <w:pPr>
        <w:pStyle w:val="Bezmezer"/>
        <w:jc w:val="both"/>
        <w:rPr>
          <w:lang w:eastAsia="cs-CZ"/>
        </w:rPr>
      </w:pPr>
    </w:p>
    <w:p w:rsidR="006D57E5" w:rsidRDefault="006D57E5" w:rsidP="00261A4F">
      <w:pPr>
        <w:pStyle w:val="Bezmezer"/>
        <w:jc w:val="both"/>
        <w:rPr>
          <w:lang w:eastAsia="cs-CZ"/>
        </w:rPr>
      </w:pPr>
      <w:r w:rsidRPr="006D57E5">
        <w:rPr>
          <w:lang w:eastAsia="cs-CZ"/>
        </w:rPr>
        <w:t>V letošním školním roce chodí do zařízení 362.700 dětí. V roce 2009/2010 místo ve školkách a jeslích mělo 314.000 chlapců a děvčat, neúspěchem skončilo 29.700 žádostí. Nejvíc dětí se podařilo umístit v roce 2013/2014, a to 367.600. Zařízení tehdy zamítla 50.800 žádostí. O rok dřív neuspělo ještě o 10.000 žadatelů víc.</w:t>
      </w:r>
    </w:p>
    <w:p w:rsidR="00261A4F" w:rsidRPr="006D57E5" w:rsidRDefault="00261A4F" w:rsidP="00261A4F">
      <w:pPr>
        <w:pStyle w:val="Bezmezer"/>
        <w:jc w:val="both"/>
        <w:rPr>
          <w:lang w:eastAsia="cs-CZ"/>
        </w:rPr>
      </w:pPr>
    </w:p>
    <w:p w:rsidR="006D57E5" w:rsidRDefault="006D57E5" w:rsidP="00261A4F">
      <w:pPr>
        <w:pStyle w:val="Bezmezer"/>
        <w:jc w:val="both"/>
        <w:rPr>
          <w:lang w:eastAsia="cs-CZ"/>
        </w:rPr>
      </w:pPr>
      <w:r w:rsidRPr="006D57E5">
        <w:rPr>
          <w:lang w:eastAsia="cs-CZ"/>
        </w:rPr>
        <w:t>Podle školského zákona musí zřizovatelé školek od příštího školního roku zajistit místa pro všechny čtyřleté děti. Postupně budou nárok na umístění mít i tříleté a od roku 2020 dvouleté děti. Od září by měl být také povinný poslední ročník školky.</w:t>
      </w:r>
    </w:p>
    <w:p w:rsidR="00261A4F" w:rsidRPr="006D57E5" w:rsidRDefault="00261A4F" w:rsidP="00261A4F">
      <w:pPr>
        <w:pStyle w:val="Bezmezer"/>
        <w:jc w:val="both"/>
        <w:rPr>
          <w:lang w:eastAsia="cs-CZ"/>
        </w:rPr>
      </w:pPr>
    </w:p>
    <w:p w:rsidR="006D57E5" w:rsidRPr="006D57E5" w:rsidRDefault="006D57E5" w:rsidP="00261A4F">
      <w:pPr>
        <w:pStyle w:val="Bezmezer"/>
        <w:jc w:val="both"/>
        <w:rPr>
          <w:lang w:eastAsia="cs-CZ"/>
        </w:rPr>
      </w:pPr>
      <w:r w:rsidRPr="006D57E5">
        <w:rPr>
          <w:lang w:eastAsia="cs-CZ"/>
        </w:rPr>
        <w:t>Na péči o předškolní děti se dnes zaměřili experti na konferenci v Praze. Podle Hany Haškové ze Sociologického ústavu Akademie věd ČR panuje v Česku kolem jeslí a školek několik mýtů. Patří mezi ně třeba to, že ČR si nemůže investice do školek dovolit či že české rodiny nemají o tuto péči zájem, uvedla socioložka. Zdůraznila, že Česko má největší propad zaměstnanosti žen u matek s malými dětmi. Obtížně hledají pro dítě opatrování, na rodičovské zůstávají dlouho.</w:t>
      </w:r>
    </w:p>
    <w:p w:rsidR="00261A4F" w:rsidRDefault="00261A4F" w:rsidP="00261A4F">
      <w:pPr>
        <w:pStyle w:val="Bezmezer"/>
        <w:jc w:val="both"/>
        <w:rPr>
          <w:lang w:eastAsia="cs-CZ"/>
        </w:rPr>
      </w:pPr>
    </w:p>
    <w:p w:rsidR="006D57E5" w:rsidRPr="006D57E5" w:rsidRDefault="006D57E5" w:rsidP="00261A4F">
      <w:pPr>
        <w:pStyle w:val="Bezmezer"/>
        <w:jc w:val="both"/>
        <w:rPr>
          <w:lang w:eastAsia="cs-CZ"/>
        </w:rPr>
      </w:pPr>
      <w:r w:rsidRPr="006D57E5">
        <w:rPr>
          <w:lang w:eastAsia="cs-CZ"/>
        </w:rPr>
        <w:t xml:space="preserve">"Řada západních zemí má větší podíl dětí v zařízeních, než tomu kdy bylo v socialistickém Československu," podotkla Hašková. </w:t>
      </w:r>
    </w:p>
    <w:p w:rsidR="00261A4F" w:rsidRDefault="00261A4F" w:rsidP="00261A4F">
      <w:pPr>
        <w:pStyle w:val="Bezmezer"/>
        <w:jc w:val="both"/>
        <w:rPr>
          <w:lang w:eastAsia="cs-CZ"/>
        </w:rPr>
      </w:pPr>
    </w:p>
    <w:p w:rsidR="00261A4F" w:rsidRDefault="00261A4F" w:rsidP="00261A4F">
      <w:pPr>
        <w:pStyle w:val="Bezmezer"/>
        <w:jc w:val="both"/>
        <w:rPr>
          <w:lang w:eastAsia="cs-CZ"/>
        </w:rPr>
      </w:pPr>
    </w:p>
    <w:p w:rsidR="00261A4F" w:rsidRDefault="00261A4F" w:rsidP="00261A4F">
      <w:pPr>
        <w:pStyle w:val="Bezmezer"/>
        <w:jc w:val="both"/>
        <w:rPr>
          <w:lang w:eastAsia="cs-CZ"/>
        </w:rPr>
      </w:pPr>
    </w:p>
    <w:p w:rsidR="00261A4F" w:rsidRDefault="00261A4F" w:rsidP="00261A4F">
      <w:pPr>
        <w:pStyle w:val="Bezmezer"/>
        <w:jc w:val="both"/>
        <w:rPr>
          <w:lang w:eastAsia="cs-CZ"/>
        </w:rPr>
      </w:pPr>
    </w:p>
    <w:p w:rsidR="00261A4F" w:rsidRDefault="00261A4F" w:rsidP="00261A4F">
      <w:pPr>
        <w:pStyle w:val="Bezmezer"/>
        <w:jc w:val="both"/>
        <w:rPr>
          <w:lang w:eastAsia="cs-CZ"/>
        </w:rPr>
      </w:pPr>
    </w:p>
    <w:p w:rsidR="00261A4F" w:rsidRDefault="00261A4F" w:rsidP="00261A4F">
      <w:pPr>
        <w:pStyle w:val="Bezmezer"/>
        <w:jc w:val="both"/>
        <w:rPr>
          <w:lang w:eastAsia="cs-CZ"/>
        </w:rPr>
      </w:pPr>
    </w:p>
    <w:p w:rsidR="00261A4F" w:rsidRDefault="00261A4F" w:rsidP="00261A4F">
      <w:pPr>
        <w:pStyle w:val="Bezmezer"/>
        <w:jc w:val="both"/>
        <w:rPr>
          <w:lang w:eastAsia="cs-CZ"/>
        </w:rPr>
      </w:pPr>
    </w:p>
    <w:p w:rsidR="006D57E5" w:rsidRPr="006D57E5" w:rsidRDefault="006D57E5" w:rsidP="00261A4F">
      <w:pPr>
        <w:pStyle w:val="Bezmezer"/>
        <w:jc w:val="both"/>
        <w:rPr>
          <w:lang w:eastAsia="cs-CZ"/>
        </w:rPr>
      </w:pPr>
      <w:r w:rsidRPr="006D57E5">
        <w:rPr>
          <w:lang w:eastAsia="cs-CZ"/>
        </w:rPr>
        <w:t xml:space="preserve">Péče v jeslích a mateřských školách má řadu odpůrců, podle nich je pobyt v zařízeních pro děti škodlivý a matka by s potomky měla zůstávat co nejdéle. "Lidé, kteří vehementně vystupují proti existenci jeslí a školek pro děti do tří let, jsou přitom ti stejní, kteří bojují za to, aby u nás zůstaly kojenecké ústavy. Nevím, jestli je něco takového i v jiné zemi," řekla ministryně práce Michaela </w:t>
      </w:r>
      <w:proofErr w:type="spellStart"/>
      <w:r w:rsidRPr="006D57E5">
        <w:rPr>
          <w:lang w:eastAsia="cs-CZ"/>
        </w:rPr>
        <w:t>Marksová</w:t>
      </w:r>
      <w:proofErr w:type="spellEnd"/>
      <w:r w:rsidRPr="006D57E5">
        <w:rPr>
          <w:lang w:eastAsia="cs-CZ"/>
        </w:rPr>
        <w:t xml:space="preserve"> (ČSSD). Podle ní se naopak děti v zařízeních naučí být v kolektivu s vrstevníky a vzdělávají se.</w:t>
      </w:r>
    </w:p>
    <w:p w:rsidR="00261A4F" w:rsidRDefault="00261A4F" w:rsidP="00261A4F">
      <w:pPr>
        <w:pStyle w:val="Bezmezer"/>
        <w:jc w:val="both"/>
        <w:rPr>
          <w:lang w:eastAsia="cs-CZ"/>
        </w:rPr>
      </w:pPr>
    </w:p>
    <w:p w:rsidR="006D57E5" w:rsidRPr="006D57E5" w:rsidRDefault="006D57E5" w:rsidP="00261A4F">
      <w:pPr>
        <w:pStyle w:val="Bezmezer"/>
        <w:jc w:val="both"/>
        <w:rPr>
          <w:lang w:eastAsia="cs-CZ"/>
        </w:rPr>
      </w:pPr>
      <w:r w:rsidRPr="006D57E5">
        <w:rPr>
          <w:lang w:eastAsia="cs-CZ"/>
        </w:rPr>
        <w:t xml:space="preserve">Pobyt ve školce tak přispívá k úspěšnosti dětí ve škole, uvedl Julius op de </w:t>
      </w:r>
      <w:proofErr w:type="spellStart"/>
      <w:r w:rsidRPr="006D57E5">
        <w:rPr>
          <w:lang w:eastAsia="cs-CZ"/>
        </w:rPr>
        <w:t>Beke</w:t>
      </w:r>
      <w:proofErr w:type="spellEnd"/>
      <w:r w:rsidRPr="006D57E5">
        <w:rPr>
          <w:lang w:eastAsia="cs-CZ"/>
        </w:rPr>
        <w:t xml:space="preserve"> z ředitelství Evropské komise pro zaměstnanost, sociální věci a začleňování. "Utrácíme spoustu peněz na veřejnou infrastrukturu, jako jsou nové silnice, ale kolik peněz věnujeme na péči o děti? Návratnost investic do silnic je 40 let, do předškolní péče deset let. Jsou důkazy, že se investice do dětí rychle vrátí," řekl.</w:t>
      </w:r>
    </w:p>
    <w:p w:rsidR="006D57E5" w:rsidRDefault="006D57E5" w:rsidP="00261A4F">
      <w:pPr>
        <w:pStyle w:val="Bezmezer"/>
        <w:jc w:val="both"/>
        <w:rPr>
          <w:lang w:eastAsia="cs-CZ"/>
        </w:rPr>
      </w:pPr>
      <w:r w:rsidRPr="006D57E5">
        <w:rPr>
          <w:lang w:eastAsia="cs-CZ"/>
        </w:rPr>
        <w:t>Podle údajů statistického úřadu žilo na konci loňska v Česku 328.800 dětí od tří do šesti let, v roce 2012 jich bylo 362.700. Dvouletých bylo loni 111.500, pětiletých pak 109.815. Na konci roku 2012 bylo dvouletých 119.500, pětiletých 118.400.</w:t>
      </w:r>
    </w:p>
    <w:p w:rsidR="00261A4F" w:rsidRPr="006D57E5" w:rsidRDefault="00261A4F" w:rsidP="00261A4F">
      <w:pPr>
        <w:pStyle w:val="Bezmezer"/>
        <w:jc w:val="both"/>
        <w:rPr>
          <w:lang w:eastAsia="cs-CZ"/>
        </w:rPr>
      </w:pPr>
    </w:p>
    <w:p w:rsidR="006D57E5" w:rsidRDefault="006D57E5" w:rsidP="00261A4F">
      <w:pPr>
        <w:pStyle w:val="Bezmezer"/>
        <w:jc w:val="both"/>
        <w:rPr>
          <w:lang w:eastAsia="cs-CZ"/>
        </w:rPr>
      </w:pPr>
      <w:r w:rsidRPr="006D57E5">
        <w:rPr>
          <w:lang w:eastAsia="cs-CZ"/>
        </w:rPr>
        <w:t>Česko poslední porodní boom zažilo zhruba před deseti lety. Nejvíc dětí přišlo na svět v roce 2008, bezmála 120.000. Do roku 2006 počet postupně klesal, nyní opět roste. Loni se narodilo 112.700 dětí. Po listopadové revoluci se změnou režimu narozených prudce ubylo, od roku 1995 do roku 2004 jich ročně nebylo ani 100.000.</w:t>
      </w:r>
    </w:p>
    <w:p w:rsidR="00261A4F" w:rsidRPr="006D57E5" w:rsidRDefault="00261A4F" w:rsidP="00261A4F">
      <w:pPr>
        <w:pStyle w:val="Bezmezer"/>
        <w:jc w:val="both"/>
        <w:rPr>
          <w:lang w:eastAsia="cs-CZ"/>
        </w:rPr>
      </w:pPr>
    </w:p>
    <w:tbl>
      <w:tblPr>
        <w:tblpPr w:leftFromText="141" w:rightFromText="141" w:vertAnchor="text" w:tblpY="1"/>
        <w:tblOverlap w:val="never"/>
        <w:tblW w:w="0" w:type="auto"/>
        <w:tblCellSpacing w:w="15" w:type="dxa"/>
        <w:tblInd w:w="-97" w:type="dxa"/>
        <w:tblCellMar>
          <w:top w:w="15" w:type="dxa"/>
          <w:left w:w="15" w:type="dxa"/>
          <w:bottom w:w="15" w:type="dxa"/>
          <w:right w:w="15" w:type="dxa"/>
        </w:tblCellMar>
        <w:tblLook w:val="04A0" w:firstRow="1" w:lastRow="0" w:firstColumn="1" w:lastColumn="0" w:noHBand="0" w:noVBand="1"/>
      </w:tblPr>
      <w:tblGrid>
        <w:gridCol w:w="81"/>
        <w:gridCol w:w="66"/>
        <w:gridCol w:w="66"/>
        <w:gridCol w:w="66"/>
        <w:gridCol w:w="66"/>
        <w:gridCol w:w="66"/>
        <w:gridCol w:w="66"/>
        <w:gridCol w:w="81"/>
      </w:tblGrid>
      <w:tr w:rsidR="00261A4F" w:rsidRPr="006D57E5" w:rsidTr="00261A4F">
        <w:trPr>
          <w:tblCellSpacing w:w="15" w:type="dxa"/>
        </w:trPr>
        <w:tc>
          <w:tcPr>
            <w:tcW w:w="0" w:type="auto"/>
            <w:vAlign w:val="center"/>
          </w:tcPr>
          <w:p w:rsidR="00261A4F" w:rsidRPr="006D57E5" w:rsidRDefault="00261A4F" w:rsidP="00261A4F">
            <w:pPr>
              <w:pStyle w:val="Bezmezer"/>
              <w:jc w:val="both"/>
              <w:rPr>
                <w:lang w:eastAsia="cs-CZ"/>
              </w:rPr>
            </w:pPr>
          </w:p>
        </w:tc>
        <w:tc>
          <w:tcPr>
            <w:tcW w:w="0" w:type="auto"/>
            <w:vAlign w:val="center"/>
          </w:tcPr>
          <w:p w:rsidR="00261A4F" w:rsidRPr="006D57E5" w:rsidRDefault="00261A4F" w:rsidP="00261A4F">
            <w:pPr>
              <w:pStyle w:val="Bezmezer"/>
              <w:jc w:val="both"/>
              <w:rPr>
                <w:lang w:eastAsia="cs-CZ"/>
              </w:rPr>
            </w:pPr>
          </w:p>
        </w:tc>
        <w:tc>
          <w:tcPr>
            <w:tcW w:w="0" w:type="auto"/>
            <w:vAlign w:val="center"/>
          </w:tcPr>
          <w:p w:rsidR="00261A4F" w:rsidRPr="006D57E5" w:rsidRDefault="00261A4F" w:rsidP="00261A4F">
            <w:pPr>
              <w:pStyle w:val="Bezmezer"/>
              <w:jc w:val="both"/>
              <w:rPr>
                <w:lang w:eastAsia="cs-CZ"/>
              </w:rPr>
            </w:pPr>
          </w:p>
        </w:tc>
        <w:tc>
          <w:tcPr>
            <w:tcW w:w="0" w:type="auto"/>
            <w:vAlign w:val="center"/>
          </w:tcPr>
          <w:p w:rsidR="00261A4F" w:rsidRPr="006D57E5" w:rsidRDefault="00261A4F" w:rsidP="00261A4F">
            <w:pPr>
              <w:pStyle w:val="Bezmezer"/>
              <w:jc w:val="both"/>
              <w:rPr>
                <w:lang w:eastAsia="cs-CZ"/>
              </w:rPr>
            </w:pPr>
          </w:p>
        </w:tc>
        <w:tc>
          <w:tcPr>
            <w:tcW w:w="0" w:type="auto"/>
            <w:vAlign w:val="center"/>
          </w:tcPr>
          <w:p w:rsidR="00261A4F" w:rsidRPr="006D57E5" w:rsidRDefault="00261A4F" w:rsidP="00261A4F">
            <w:pPr>
              <w:pStyle w:val="Bezmezer"/>
              <w:jc w:val="both"/>
              <w:rPr>
                <w:lang w:eastAsia="cs-CZ"/>
              </w:rPr>
            </w:pPr>
          </w:p>
        </w:tc>
        <w:tc>
          <w:tcPr>
            <w:tcW w:w="0" w:type="auto"/>
            <w:vAlign w:val="center"/>
          </w:tcPr>
          <w:p w:rsidR="00261A4F" w:rsidRPr="006D57E5" w:rsidRDefault="00261A4F" w:rsidP="00261A4F">
            <w:pPr>
              <w:pStyle w:val="Bezmezer"/>
              <w:jc w:val="both"/>
              <w:rPr>
                <w:lang w:eastAsia="cs-CZ"/>
              </w:rPr>
            </w:pPr>
          </w:p>
        </w:tc>
        <w:tc>
          <w:tcPr>
            <w:tcW w:w="0" w:type="auto"/>
            <w:vAlign w:val="center"/>
          </w:tcPr>
          <w:p w:rsidR="00261A4F" w:rsidRPr="006D57E5" w:rsidRDefault="00261A4F" w:rsidP="00261A4F">
            <w:pPr>
              <w:pStyle w:val="Bezmezer"/>
              <w:jc w:val="both"/>
              <w:rPr>
                <w:lang w:eastAsia="cs-CZ"/>
              </w:rPr>
            </w:pPr>
          </w:p>
        </w:tc>
        <w:tc>
          <w:tcPr>
            <w:tcW w:w="0" w:type="auto"/>
            <w:vAlign w:val="center"/>
          </w:tcPr>
          <w:p w:rsidR="00261A4F" w:rsidRPr="006D57E5" w:rsidRDefault="00261A4F" w:rsidP="00261A4F">
            <w:pPr>
              <w:pStyle w:val="Bezmezer"/>
              <w:jc w:val="both"/>
              <w:rPr>
                <w:lang w:eastAsia="cs-CZ"/>
              </w:rPr>
            </w:pPr>
          </w:p>
        </w:tc>
      </w:tr>
      <w:tr w:rsidR="00261A4F" w:rsidRPr="006D57E5" w:rsidTr="00261A4F">
        <w:trPr>
          <w:tblCellSpacing w:w="15" w:type="dxa"/>
        </w:trPr>
        <w:tc>
          <w:tcPr>
            <w:tcW w:w="0" w:type="auto"/>
            <w:vAlign w:val="center"/>
          </w:tcPr>
          <w:p w:rsidR="00261A4F" w:rsidRPr="006D57E5" w:rsidRDefault="00261A4F" w:rsidP="00261A4F">
            <w:pPr>
              <w:pStyle w:val="Bezmezer"/>
              <w:jc w:val="both"/>
              <w:rPr>
                <w:lang w:eastAsia="cs-CZ"/>
              </w:rPr>
            </w:pPr>
          </w:p>
        </w:tc>
        <w:tc>
          <w:tcPr>
            <w:tcW w:w="0" w:type="auto"/>
            <w:vAlign w:val="center"/>
          </w:tcPr>
          <w:p w:rsidR="00261A4F" w:rsidRPr="006D57E5" w:rsidRDefault="00261A4F" w:rsidP="00261A4F">
            <w:pPr>
              <w:pStyle w:val="Bezmezer"/>
              <w:jc w:val="both"/>
              <w:rPr>
                <w:lang w:eastAsia="cs-CZ"/>
              </w:rPr>
            </w:pPr>
          </w:p>
        </w:tc>
        <w:tc>
          <w:tcPr>
            <w:tcW w:w="0" w:type="auto"/>
            <w:vAlign w:val="center"/>
          </w:tcPr>
          <w:p w:rsidR="00261A4F" w:rsidRPr="006D57E5" w:rsidRDefault="00261A4F" w:rsidP="00261A4F">
            <w:pPr>
              <w:pStyle w:val="Bezmezer"/>
              <w:jc w:val="both"/>
              <w:rPr>
                <w:lang w:eastAsia="cs-CZ"/>
              </w:rPr>
            </w:pPr>
          </w:p>
        </w:tc>
        <w:tc>
          <w:tcPr>
            <w:tcW w:w="0" w:type="auto"/>
            <w:vAlign w:val="center"/>
          </w:tcPr>
          <w:p w:rsidR="00261A4F" w:rsidRPr="006D57E5" w:rsidRDefault="00261A4F" w:rsidP="00261A4F">
            <w:pPr>
              <w:pStyle w:val="Bezmezer"/>
              <w:jc w:val="both"/>
              <w:rPr>
                <w:lang w:eastAsia="cs-CZ"/>
              </w:rPr>
            </w:pPr>
          </w:p>
        </w:tc>
        <w:tc>
          <w:tcPr>
            <w:tcW w:w="0" w:type="auto"/>
            <w:vAlign w:val="center"/>
          </w:tcPr>
          <w:p w:rsidR="00261A4F" w:rsidRPr="006D57E5" w:rsidRDefault="00261A4F" w:rsidP="00261A4F">
            <w:pPr>
              <w:pStyle w:val="Bezmezer"/>
              <w:jc w:val="both"/>
              <w:rPr>
                <w:lang w:eastAsia="cs-CZ"/>
              </w:rPr>
            </w:pPr>
          </w:p>
        </w:tc>
        <w:tc>
          <w:tcPr>
            <w:tcW w:w="0" w:type="auto"/>
            <w:vAlign w:val="center"/>
          </w:tcPr>
          <w:p w:rsidR="00261A4F" w:rsidRPr="006D57E5" w:rsidRDefault="00261A4F" w:rsidP="00261A4F">
            <w:pPr>
              <w:pStyle w:val="Bezmezer"/>
              <w:jc w:val="both"/>
              <w:rPr>
                <w:lang w:eastAsia="cs-CZ"/>
              </w:rPr>
            </w:pPr>
          </w:p>
        </w:tc>
        <w:tc>
          <w:tcPr>
            <w:tcW w:w="0" w:type="auto"/>
            <w:vAlign w:val="center"/>
          </w:tcPr>
          <w:p w:rsidR="00261A4F" w:rsidRPr="006D57E5" w:rsidRDefault="00261A4F" w:rsidP="00261A4F">
            <w:pPr>
              <w:pStyle w:val="Bezmezer"/>
              <w:jc w:val="both"/>
              <w:rPr>
                <w:lang w:eastAsia="cs-CZ"/>
              </w:rPr>
            </w:pPr>
          </w:p>
        </w:tc>
        <w:tc>
          <w:tcPr>
            <w:tcW w:w="0" w:type="auto"/>
            <w:vAlign w:val="center"/>
          </w:tcPr>
          <w:p w:rsidR="00261A4F" w:rsidRPr="006D57E5" w:rsidRDefault="00261A4F" w:rsidP="00261A4F">
            <w:pPr>
              <w:pStyle w:val="Bezmezer"/>
              <w:jc w:val="both"/>
              <w:rPr>
                <w:lang w:eastAsia="cs-CZ"/>
              </w:rPr>
            </w:pPr>
          </w:p>
        </w:tc>
      </w:tr>
      <w:tr w:rsidR="00261A4F" w:rsidRPr="006D57E5" w:rsidTr="00261A4F">
        <w:trPr>
          <w:tblCellSpacing w:w="15" w:type="dxa"/>
        </w:trPr>
        <w:tc>
          <w:tcPr>
            <w:tcW w:w="0" w:type="auto"/>
            <w:vAlign w:val="center"/>
          </w:tcPr>
          <w:p w:rsidR="00261A4F" w:rsidRPr="006D57E5" w:rsidRDefault="00261A4F" w:rsidP="00261A4F">
            <w:pPr>
              <w:pStyle w:val="Bezmezer"/>
              <w:jc w:val="both"/>
              <w:rPr>
                <w:lang w:eastAsia="cs-CZ"/>
              </w:rPr>
            </w:pPr>
          </w:p>
        </w:tc>
        <w:tc>
          <w:tcPr>
            <w:tcW w:w="0" w:type="auto"/>
            <w:vAlign w:val="center"/>
          </w:tcPr>
          <w:p w:rsidR="00261A4F" w:rsidRPr="006D57E5" w:rsidRDefault="00261A4F" w:rsidP="00261A4F">
            <w:pPr>
              <w:pStyle w:val="Bezmezer"/>
              <w:jc w:val="both"/>
              <w:rPr>
                <w:lang w:eastAsia="cs-CZ"/>
              </w:rPr>
            </w:pPr>
          </w:p>
        </w:tc>
        <w:tc>
          <w:tcPr>
            <w:tcW w:w="0" w:type="auto"/>
            <w:vAlign w:val="center"/>
          </w:tcPr>
          <w:p w:rsidR="00261A4F" w:rsidRPr="006D57E5" w:rsidRDefault="00261A4F" w:rsidP="00261A4F">
            <w:pPr>
              <w:pStyle w:val="Bezmezer"/>
              <w:jc w:val="both"/>
              <w:rPr>
                <w:lang w:eastAsia="cs-CZ"/>
              </w:rPr>
            </w:pPr>
          </w:p>
        </w:tc>
        <w:tc>
          <w:tcPr>
            <w:tcW w:w="0" w:type="auto"/>
            <w:vAlign w:val="center"/>
          </w:tcPr>
          <w:p w:rsidR="00261A4F" w:rsidRPr="006D57E5" w:rsidRDefault="00261A4F" w:rsidP="00261A4F">
            <w:pPr>
              <w:pStyle w:val="Bezmezer"/>
              <w:jc w:val="both"/>
              <w:rPr>
                <w:lang w:eastAsia="cs-CZ"/>
              </w:rPr>
            </w:pPr>
          </w:p>
        </w:tc>
        <w:tc>
          <w:tcPr>
            <w:tcW w:w="0" w:type="auto"/>
            <w:vAlign w:val="center"/>
          </w:tcPr>
          <w:p w:rsidR="00261A4F" w:rsidRPr="006D57E5" w:rsidRDefault="00261A4F" w:rsidP="00261A4F">
            <w:pPr>
              <w:pStyle w:val="Bezmezer"/>
              <w:jc w:val="both"/>
              <w:rPr>
                <w:lang w:eastAsia="cs-CZ"/>
              </w:rPr>
            </w:pPr>
          </w:p>
        </w:tc>
        <w:tc>
          <w:tcPr>
            <w:tcW w:w="0" w:type="auto"/>
            <w:vAlign w:val="center"/>
          </w:tcPr>
          <w:p w:rsidR="00261A4F" w:rsidRPr="006D57E5" w:rsidRDefault="00261A4F" w:rsidP="00261A4F">
            <w:pPr>
              <w:pStyle w:val="Bezmezer"/>
              <w:jc w:val="both"/>
              <w:rPr>
                <w:lang w:eastAsia="cs-CZ"/>
              </w:rPr>
            </w:pPr>
          </w:p>
        </w:tc>
        <w:tc>
          <w:tcPr>
            <w:tcW w:w="0" w:type="auto"/>
            <w:vAlign w:val="center"/>
          </w:tcPr>
          <w:p w:rsidR="00261A4F" w:rsidRPr="006D57E5" w:rsidRDefault="00261A4F" w:rsidP="00261A4F">
            <w:pPr>
              <w:pStyle w:val="Bezmezer"/>
              <w:jc w:val="both"/>
              <w:rPr>
                <w:lang w:eastAsia="cs-CZ"/>
              </w:rPr>
            </w:pPr>
          </w:p>
        </w:tc>
        <w:tc>
          <w:tcPr>
            <w:tcW w:w="0" w:type="auto"/>
            <w:vAlign w:val="center"/>
          </w:tcPr>
          <w:p w:rsidR="00261A4F" w:rsidRPr="006D57E5" w:rsidRDefault="00261A4F" w:rsidP="00261A4F">
            <w:pPr>
              <w:pStyle w:val="Bezmezer"/>
              <w:jc w:val="both"/>
              <w:rPr>
                <w:lang w:eastAsia="cs-CZ"/>
              </w:rPr>
            </w:pPr>
          </w:p>
        </w:tc>
      </w:tr>
    </w:tbl>
    <w:p w:rsidR="00941083" w:rsidRPr="00261A4F" w:rsidRDefault="00261A4F" w:rsidP="00261A4F">
      <w:pPr>
        <w:pStyle w:val="Bezmezer"/>
        <w:jc w:val="both"/>
      </w:pPr>
      <w:bookmarkStart w:id="0" w:name="_GoBack"/>
      <w:bookmarkEnd w:id="0"/>
      <w:r>
        <w:br w:type="textWrapping" w:clear="all"/>
      </w:r>
    </w:p>
    <w:tbl>
      <w:tblPr>
        <w:tblStyle w:val="Mkatabulky"/>
        <w:tblW w:w="0" w:type="auto"/>
        <w:tblLook w:val="04A0" w:firstRow="1" w:lastRow="0" w:firstColumn="1" w:lastColumn="0" w:noHBand="0" w:noVBand="1"/>
      </w:tblPr>
      <w:tblGrid>
        <w:gridCol w:w="1051"/>
        <w:gridCol w:w="1033"/>
        <w:gridCol w:w="1024"/>
        <w:gridCol w:w="1024"/>
        <w:gridCol w:w="1024"/>
        <w:gridCol w:w="1033"/>
        <w:gridCol w:w="1033"/>
        <w:gridCol w:w="1033"/>
        <w:gridCol w:w="1033"/>
      </w:tblGrid>
      <w:tr w:rsidR="005954E7" w:rsidRPr="00261A4F" w:rsidTr="00B7757A">
        <w:tc>
          <w:tcPr>
            <w:tcW w:w="1159" w:type="dxa"/>
          </w:tcPr>
          <w:p w:rsidR="00B7757A" w:rsidRPr="005954E7" w:rsidRDefault="00B7757A" w:rsidP="00261A4F">
            <w:pPr>
              <w:pStyle w:val="Bezmezer"/>
              <w:jc w:val="both"/>
              <w:rPr>
                <w:b/>
                <w:sz w:val="18"/>
                <w:szCs w:val="18"/>
              </w:rPr>
            </w:pPr>
            <w:r w:rsidRPr="005954E7">
              <w:rPr>
                <w:b/>
                <w:sz w:val="18"/>
                <w:szCs w:val="18"/>
                <w:lang w:eastAsia="cs-CZ"/>
              </w:rPr>
              <w:t>Školní rok</w:t>
            </w:r>
          </w:p>
        </w:tc>
        <w:tc>
          <w:tcPr>
            <w:tcW w:w="1072" w:type="dxa"/>
            <w:vAlign w:val="center"/>
          </w:tcPr>
          <w:p w:rsidR="00B7757A" w:rsidRPr="005954E7" w:rsidRDefault="00B7757A" w:rsidP="00261A4F">
            <w:pPr>
              <w:pStyle w:val="Bezmezer"/>
              <w:jc w:val="both"/>
              <w:rPr>
                <w:b/>
                <w:sz w:val="18"/>
                <w:szCs w:val="18"/>
                <w:lang w:eastAsia="cs-CZ"/>
              </w:rPr>
            </w:pPr>
            <w:r w:rsidRPr="005954E7">
              <w:rPr>
                <w:b/>
                <w:sz w:val="18"/>
                <w:szCs w:val="18"/>
                <w:lang w:eastAsia="cs-CZ"/>
              </w:rPr>
              <w:t>2009/2010</w:t>
            </w:r>
          </w:p>
        </w:tc>
        <w:tc>
          <w:tcPr>
            <w:tcW w:w="923" w:type="dxa"/>
            <w:vAlign w:val="center"/>
          </w:tcPr>
          <w:p w:rsidR="00B7757A" w:rsidRPr="005954E7" w:rsidRDefault="00B7757A" w:rsidP="00261A4F">
            <w:pPr>
              <w:pStyle w:val="Bezmezer"/>
              <w:jc w:val="both"/>
              <w:rPr>
                <w:b/>
                <w:sz w:val="18"/>
                <w:szCs w:val="18"/>
                <w:lang w:eastAsia="cs-CZ"/>
              </w:rPr>
            </w:pPr>
            <w:r w:rsidRPr="005954E7">
              <w:rPr>
                <w:b/>
                <w:sz w:val="18"/>
                <w:szCs w:val="18"/>
                <w:lang w:eastAsia="cs-CZ"/>
              </w:rPr>
              <w:t>2010/</w:t>
            </w:r>
            <w:r w:rsidR="005954E7">
              <w:rPr>
                <w:b/>
                <w:sz w:val="18"/>
                <w:szCs w:val="18"/>
                <w:lang w:eastAsia="cs-CZ"/>
              </w:rPr>
              <w:t>20</w:t>
            </w:r>
            <w:r w:rsidRPr="005954E7">
              <w:rPr>
                <w:b/>
                <w:sz w:val="18"/>
                <w:szCs w:val="18"/>
                <w:lang w:eastAsia="cs-CZ"/>
              </w:rPr>
              <w:t>11</w:t>
            </w:r>
          </w:p>
        </w:tc>
        <w:tc>
          <w:tcPr>
            <w:tcW w:w="923" w:type="dxa"/>
            <w:vAlign w:val="center"/>
          </w:tcPr>
          <w:p w:rsidR="00B7757A" w:rsidRPr="005954E7" w:rsidRDefault="00B7757A" w:rsidP="00261A4F">
            <w:pPr>
              <w:pStyle w:val="Bezmezer"/>
              <w:jc w:val="both"/>
              <w:rPr>
                <w:b/>
                <w:sz w:val="18"/>
                <w:szCs w:val="18"/>
                <w:lang w:eastAsia="cs-CZ"/>
              </w:rPr>
            </w:pPr>
            <w:r w:rsidRPr="005954E7">
              <w:rPr>
                <w:b/>
                <w:sz w:val="18"/>
                <w:szCs w:val="18"/>
                <w:lang w:eastAsia="cs-CZ"/>
              </w:rPr>
              <w:t>2011/</w:t>
            </w:r>
            <w:r w:rsidR="005954E7">
              <w:rPr>
                <w:b/>
                <w:sz w:val="18"/>
                <w:szCs w:val="18"/>
                <w:lang w:eastAsia="cs-CZ"/>
              </w:rPr>
              <w:t>20</w:t>
            </w:r>
            <w:r w:rsidRPr="005954E7">
              <w:rPr>
                <w:b/>
                <w:sz w:val="18"/>
                <w:szCs w:val="18"/>
                <w:lang w:eastAsia="cs-CZ"/>
              </w:rPr>
              <w:t>12</w:t>
            </w:r>
          </w:p>
        </w:tc>
        <w:tc>
          <w:tcPr>
            <w:tcW w:w="923" w:type="dxa"/>
            <w:vAlign w:val="center"/>
          </w:tcPr>
          <w:p w:rsidR="00B7757A" w:rsidRPr="005954E7" w:rsidRDefault="00B7757A" w:rsidP="00261A4F">
            <w:pPr>
              <w:pStyle w:val="Bezmezer"/>
              <w:jc w:val="both"/>
              <w:rPr>
                <w:b/>
                <w:sz w:val="18"/>
                <w:szCs w:val="18"/>
                <w:lang w:eastAsia="cs-CZ"/>
              </w:rPr>
            </w:pPr>
            <w:r w:rsidRPr="005954E7">
              <w:rPr>
                <w:b/>
                <w:sz w:val="18"/>
                <w:szCs w:val="18"/>
                <w:lang w:eastAsia="cs-CZ"/>
              </w:rPr>
              <w:t>2012/</w:t>
            </w:r>
            <w:r w:rsidR="005954E7">
              <w:rPr>
                <w:b/>
                <w:sz w:val="18"/>
                <w:szCs w:val="18"/>
                <w:lang w:eastAsia="cs-CZ"/>
              </w:rPr>
              <w:t>20</w:t>
            </w:r>
            <w:r w:rsidRPr="005954E7">
              <w:rPr>
                <w:b/>
                <w:sz w:val="18"/>
                <w:szCs w:val="18"/>
                <w:lang w:eastAsia="cs-CZ"/>
              </w:rPr>
              <w:t>13</w:t>
            </w:r>
          </w:p>
        </w:tc>
        <w:tc>
          <w:tcPr>
            <w:tcW w:w="1072" w:type="dxa"/>
            <w:vAlign w:val="center"/>
          </w:tcPr>
          <w:p w:rsidR="00B7757A" w:rsidRPr="005954E7" w:rsidRDefault="00B7757A" w:rsidP="00261A4F">
            <w:pPr>
              <w:pStyle w:val="Bezmezer"/>
              <w:jc w:val="both"/>
              <w:rPr>
                <w:b/>
                <w:sz w:val="18"/>
                <w:szCs w:val="18"/>
                <w:lang w:eastAsia="cs-CZ"/>
              </w:rPr>
            </w:pPr>
            <w:r w:rsidRPr="005954E7">
              <w:rPr>
                <w:b/>
                <w:sz w:val="18"/>
                <w:szCs w:val="18"/>
                <w:lang w:eastAsia="cs-CZ"/>
              </w:rPr>
              <w:t>2013/2014</w:t>
            </w:r>
          </w:p>
        </w:tc>
        <w:tc>
          <w:tcPr>
            <w:tcW w:w="1072" w:type="dxa"/>
            <w:vAlign w:val="center"/>
          </w:tcPr>
          <w:p w:rsidR="00B7757A" w:rsidRPr="005954E7" w:rsidRDefault="00B7757A" w:rsidP="00261A4F">
            <w:pPr>
              <w:pStyle w:val="Bezmezer"/>
              <w:jc w:val="both"/>
              <w:rPr>
                <w:b/>
                <w:sz w:val="18"/>
                <w:szCs w:val="18"/>
                <w:lang w:eastAsia="cs-CZ"/>
              </w:rPr>
            </w:pPr>
            <w:r w:rsidRPr="005954E7">
              <w:rPr>
                <w:b/>
                <w:sz w:val="18"/>
                <w:szCs w:val="18"/>
                <w:lang w:eastAsia="cs-CZ"/>
              </w:rPr>
              <w:t>2014/2015</w:t>
            </w:r>
          </w:p>
        </w:tc>
        <w:tc>
          <w:tcPr>
            <w:tcW w:w="1072" w:type="dxa"/>
            <w:vAlign w:val="center"/>
          </w:tcPr>
          <w:p w:rsidR="00B7757A" w:rsidRPr="005954E7" w:rsidRDefault="00B7757A" w:rsidP="00261A4F">
            <w:pPr>
              <w:pStyle w:val="Bezmezer"/>
              <w:jc w:val="both"/>
              <w:rPr>
                <w:b/>
                <w:sz w:val="18"/>
                <w:szCs w:val="18"/>
                <w:lang w:eastAsia="cs-CZ"/>
              </w:rPr>
            </w:pPr>
            <w:r w:rsidRPr="005954E7">
              <w:rPr>
                <w:b/>
                <w:sz w:val="18"/>
                <w:szCs w:val="18"/>
                <w:lang w:eastAsia="cs-CZ"/>
              </w:rPr>
              <w:t>2015/2016</w:t>
            </w:r>
          </w:p>
        </w:tc>
        <w:tc>
          <w:tcPr>
            <w:tcW w:w="1072" w:type="dxa"/>
            <w:vAlign w:val="center"/>
          </w:tcPr>
          <w:p w:rsidR="00B7757A" w:rsidRPr="005954E7" w:rsidRDefault="00B7757A" w:rsidP="00261A4F">
            <w:pPr>
              <w:pStyle w:val="Bezmezer"/>
              <w:jc w:val="both"/>
              <w:rPr>
                <w:b/>
                <w:sz w:val="18"/>
                <w:szCs w:val="18"/>
                <w:lang w:eastAsia="cs-CZ"/>
              </w:rPr>
            </w:pPr>
            <w:r w:rsidRPr="005954E7">
              <w:rPr>
                <w:b/>
                <w:sz w:val="18"/>
                <w:szCs w:val="18"/>
                <w:lang w:eastAsia="cs-CZ"/>
              </w:rPr>
              <w:t>2016/2017</w:t>
            </w:r>
          </w:p>
        </w:tc>
      </w:tr>
      <w:tr w:rsidR="005954E7" w:rsidRPr="00261A4F" w:rsidTr="00B7757A">
        <w:tc>
          <w:tcPr>
            <w:tcW w:w="1159" w:type="dxa"/>
            <w:vAlign w:val="center"/>
          </w:tcPr>
          <w:p w:rsidR="00B7757A" w:rsidRPr="005954E7" w:rsidRDefault="005954E7" w:rsidP="005954E7">
            <w:pPr>
              <w:rPr>
                <w:sz w:val="18"/>
                <w:szCs w:val="18"/>
                <w:lang w:eastAsia="cs-CZ"/>
              </w:rPr>
            </w:pPr>
            <w:r w:rsidRPr="005954E7">
              <w:rPr>
                <w:sz w:val="18"/>
                <w:szCs w:val="18"/>
                <w:lang w:eastAsia="cs-CZ"/>
              </w:rPr>
              <w:t>Dětí v zařízeních</w:t>
            </w:r>
          </w:p>
        </w:tc>
        <w:tc>
          <w:tcPr>
            <w:tcW w:w="1072" w:type="dxa"/>
            <w:vAlign w:val="center"/>
          </w:tcPr>
          <w:p w:rsidR="00B7757A" w:rsidRPr="005954E7" w:rsidRDefault="00B7757A" w:rsidP="00261A4F">
            <w:pPr>
              <w:pStyle w:val="Bezmezer"/>
              <w:jc w:val="both"/>
              <w:rPr>
                <w:sz w:val="18"/>
                <w:szCs w:val="18"/>
                <w:lang w:eastAsia="cs-CZ"/>
              </w:rPr>
            </w:pPr>
            <w:r w:rsidRPr="005954E7">
              <w:rPr>
                <w:sz w:val="18"/>
                <w:szCs w:val="18"/>
                <w:lang w:eastAsia="cs-CZ"/>
              </w:rPr>
              <w:t>314.008</w:t>
            </w:r>
          </w:p>
        </w:tc>
        <w:tc>
          <w:tcPr>
            <w:tcW w:w="923" w:type="dxa"/>
            <w:vAlign w:val="center"/>
          </w:tcPr>
          <w:p w:rsidR="00B7757A" w:rsidRPr="005954E7" w:rsidRDefault="00B7757A" w:rsidP="00261A4F">
            <w:pPr>
              <w:pStyle w:val="Bezmezer"/>
              <w:jc w:val="both"/>
              <w:rPr>
                <w:sz w:val="18"/>
                <w:szCs w:val="18"/>
                <w:lang w:eastAsia="cs-CZ"/>
              </w:rPr>
            </w:pPr>
            <w:r w:rsidRPr="005954E7">
              <w:rPr>
                <w:sz w:val="18"/>
                <w:szCs w:val="18"/>
                <w:lang w:eastAsia="cs-CZ"/>
              </w:rPr>
              <w:t>328.612</w:t>
            </w:r>
          </w:p>
        </w:tc>
        <w:tc>
          <w:tcPr>
            <w:tcW w:w="923" w:type="dxa"/>
            <w:vAlign w:val="center"/>
          </w:tcPr>
          <w:p w:rsidR="00B7757A" w:rsidRPr="005954E7" w:rsidRDefault="00B7757A" w:rsidP="00261A4F">
            <w:pPr>
              <w:pStyle w:val="Bezmezer"/>
              <w:jc w:val="both"/>
              <w:rPr>
                <w:sz w:val="18"/>
                <w:szCs w:val="18"/>
                <w:lang w:eastAsia="cs-CZ"/>
              </w:rPr>
            </w:pPr>
            <w:r w:rsidRPr="005954E7">
              <w:rPr>
                <w:sz w:val="18"/>
                <w:szCs w:val="18"/>
                <w:lang w:eastAsia="cs-CZ"/>
              </w:rPr>
              <w:t>345.521</w:t>
            </w:r>
          </w:p>
        </w:tc>
        <w:tc>
          <w:tcPr>
            <w:tcW w:w="923" w:type="dxa"/>
            <w:vAlign w:val="center"/>
          </w:tcPr>
          <w:p w:rsidR="00B7757A" w:rsidRPr="005954E7" w:rsidRDefault="00B7757A" w:rsidP="00261A4F">
            <w:pPr>
              <w:pStyle w:val="Bezmezer"/>
              <w:jc w:val="both"/>
              <w:rPr>
                <w:sz w:val="18"/>
                <w:szCs w:val="18"/>
                <w:lang w:eastAsia="cs-CZ"/>
              </w:rPr>
            </w:pPr>
            <w:r w:rsidRPr="005954E7">
              <w:rPr>
                <w:sz w:val="18"/>
                <w:szCs w:val="18"/>
                <w:lang w:eastAsia="cs-CZ"/>
              </w:rPr>
              <w:t>354.340</w:t>
            </w:r>
          </w:p>
        </w:tc>
        <w:tc>
          <w:tcPr>
            <w:tcW w:w="1072" w:type="dxa"/>
            <w:vAlign w:val="center"/>
          </w:tcPr>
          <w:p w:rsidR="00B7757A" w:rsidRPr="005954E7" w:rsidRDefault="00B7757A" w:rsidP="00261A4F">
            <w:pPr>
              <w:pStyle w:val="Bezmezer"/>
              <w:jc w:val="both"/>
              <w:rPr>
                <w:sz w:val="18"/>
                <w:szCs w:val="18"/>
                <w:lang w:eastAsia="cs-CZ"/>
              </w:rPr>
            </w:pPr>
            <w:r w:rsidRPr="005954E7">
              <w:rPr>
                <w:sz w:val="18"/>
                <w:szCs w:val="18"/>
                <w:lang w:eastAsia="cs-CZ"/>
              </w:rPr>
              <w:t>363.568</w:t>
            </w:r>
          </w:p>
        </w:tc>
        <w:tc>
          <w:tcPr>
            <w:tcW w:w="1072" w:type="dxa"/>
            <w:vAlign w:val="center"/>
          </w:tcPr>
          <w:p w:rsidR="00B7757A" w:rsidRPr="005954E7" w:rsidRDefault="00B7757A" w:rsidP="00261A4F">
            <w:pPr>
              <w:pStyle w:val="Bezmezer"/>
              <w:jc w:val="both"/>
              <w:rPr>
                <w:sz w:val="18"/>
                <w:szCs w:val="18"/>
                <w:lang w:eastAsia="cs-CZ"/>
              </w:rPr>
            </w:pPr>
            <w:r w:rsidRPr="005954E7">
              <w:rPr>
                <w:sz w:val="18"/>
                <w:szCs w:val="18"/>
                <w:lang w:eastAsia="cs-CZ"/>
              </w:rPr>
              <w:t>367.603</w:t>
            </w:r>
          </w:p>
        </w:tc>
        <w:tc>
          <w:tcPr>
            <w:tcW w:w="1072" w:type="dxa"/>
            <w:vAlign w:val="center"/>
          </w:tcPr>
          <w:p w:rsidR="00B7757A" w:rsidRPr="005954E7" w:rsidRDefault="00B7757A" w:rsidP="00261A4F">
            <w:pPr>
              <w:pStyle w:val="Bezmezer"/>
              <w:jc w:val="both"/>
              <w:rPr>
                <w:sz w:val="18"/>
                <w:szCs w:val="18"/>
                <w:lang w:eastAsia="cs-CZ"/>
              </w:rPr>
            </w:pPr>
            <w:r w:rsidRPr="005954E7">
              <w:rPr>
                <w:sz w:val="18"/>
                <w:szCs w:val="18"/>
                <w:lang w:eastAsia="cs-CZ"/>
              </w:rPr>
              <w:t>367.361</w:t>
            </w:r>
          </w:p>
        </w:tc>
        <w:tc>
          <w:tcPr>
            <w:tcW w:w="1072" w:type="dxa"/>
            <w:vAlign w:val="center"/>
          </w:tcPr>
          <w:p w:rsidR="00B7757A" w:rsidRPr="005954E7" w:rsidRDefault="00B7757A" w:rsidP="00261A4F">
            <w:pPr>
              <w:pStyle w:val="Bezmezer"/>
              <w:jc w:val="both"/>
              <w:rPr>
                <w:sz w:val="18"/>
                <w:szCs w:val="18"/>
                <w:lang w:eastAsia="cs-CZ"/>
              </w:rPr>
            </w:pPr>
            <w:r w:rsidRPr="005954E7">
              <w:rPr>
                <w:sz w:val="18"/>
                <w:szCs w:val="18"/>
                <w:lang w:eastAsia="cs-CZ"/>
              </w:rPr>
              <w:t>362.653</w:t>
            </w:r>
          </w:p>
        </w:tc>
      </w:tr>
      <w:tr w:rsidR="005954E7" w:rsidRPr="00261A4F" w:rsidTr="00B7757A">
        <w:tc>
          <w:tcPr>
            <w:tcW w:w="1159" w:type="dxa"/>
          </w:tcPr>
          <w:p w:rsidR="00B7757A" w:rsidRPr="005954E7" w:rsidRDefault="005954E7" w:rsidP="005954E7">
            <w:pPr>
              <w:rPr>
                <w:sz w:val="18"/>
                <w:szCs w:val="18"/>
              </w:rPr>
            </w:pPr>
            <w:r w:rsidRPr="005954E7">
              <w:rPr>
                <w:sz w:val="18"/>
                <w:szCs w:val="18"/>
                <w:lang w:eastAsia="cs-CZ"/>
              </w:rPr>
              <w:t xml:space="preserve">Neúspěšné žádosti </w:t>
            </w:r>
          </w:p>
        </w:tc>
        <w:tc>
          <w:tcPr>
            <w:tcW w:w="1072" w:type="dxa"/>
            <w:vAlign w:val="center"/>
          </w:tcPr>
          <w:p w:rsidR="00B7757A" w:rsidRPr="005954E7" w:rsidRDefault="00B7757A" w:rsidP="00261A4F">
            <w:pPr>
              <w:pStyle w:val="Bezmezer"/>
              <w:jc w:val="both"/>
              <w:rPr>
                <w:sz w:val="18"/>
                <w:szCs w:val="18"/>
                <w:lang w:eastAsia="cs-CZ"/>
              </w:rPr>
            </w:pPr>
            <w:r w:rsidRPr="005954E7">
              <w:rPr>
                <w:sz w:val="18"/>
                <w:szCs w:val="18"/>
                <w:lang w:eastAsia="cs-CZ"/>
              </w:rPr>
              <w:t>29.632</w:t>
            </w:r>
          </w:p>
        </w:tc>
        <w:tc>
          <w:tcPr>
            <w:tcW w:w="923" w:type="dxa"/>
            <w:vAlign w:val="center"/>
          </w:tcPr>
          <w:p w:rsidR="00B7757A" w:rsidRPr="005954E7" w:rsidRDefault="00B7757A" w:rsidP="00261A4F">
            <w:pPr>
              <w:pStyle w:val="Bezmezer"/>
              <w:jc w:val="both"/>
              <w:rPr>
                <w:sz w:val="18"/>
                <w:szCs w:val="18"/>
                <w:lang w:eastAsia="cs-CZ"/>
              </w:rPr>
            </w:pPr>
            <w:r w:rsidRPr="005954E7">
              <w:rPr>
                <w:sz w:val="18"/>
                <w:szCs w:val="18"/>
                <w:lang w:eastAsia="cs-CZ"/>
              </w:rPr>
              <w:t>39.483</w:t>
            </w:r>
          </w:p>
        </w:tc>
        <w:tc>
          <w:tcPr>
            <w:tcW w:w="923" w:type="dxa"/>
            <w:vAlign w:val="center"/>
          </w:tcPr>
          <w:p w:rsidR="00B7757A" w:rsidRPr="005954E7" w:rsidRDefault="00B7757A" w:rsidP="00261A4F">
            <w:pPr>
              <w:pStyle w:val="Bezmezer"/>
              <w:jc w:val="both"/>
              <w:rPr>
                <w:sz w:val="18"/>
                <w:szCs w:val="18"/>
                <w:lang w:eastAsia="cs-CZ"/>
              </w:rPr>
            </w:pPr>
            <w:r w:rsidRPr="005954E7">
              <w:rPr>
                <w:sz w:val="18"/>
                <w:szCs w:val="18"/>
                <w:lang w:eastAsia="cs-CZ"/>
              </w:rPr>
              <w:t>49.186</w:t>
            </w:r>
          </w:p>
        </w:tc>
        <w:tc>
          <w:tcPr>
            <w:tcW w:w="923" w:type="dxa"/>
            <w:vAlign w:val="center"/>
          </w:tcPr>
          <w:p w:rsidR="00B7757A" w:rsidRPr="005954E7" w:rsidRDefault="00B7757A" w:rsidP="00261A4F">
            <w:pPr>
              <w:pStyle w:val="Bezmezer"/>
              <w:jc w:val="both"/>
              <w:rPr>
                <w:sz w:val="18"/>
                <w:szCs w:val="18"/>
                <w:lang w:eastAsia="cs-CZ"/>
              </w:rPr>
            </w:pPr>
            <w:r w:rsidRPr="005954E7">
              <w:rPr>
                <w:sz w:val="18"/>
                <w:szCs w:val="18"/>
                <w:lang w:eastAsia="cs-CZ"/>
              </w:rPr>
              <w:t>58.939</w:t>
            </w:r>
          </w:p>
        </w:tc>
        <w:tc>
          <w:tcPr>
            <w:tcW w:w="1072" w:type="dxa"/>
            <w:vAlign w:val="center"/>
          </w:tcPr>
          <w:p w:rsidR="00B7757A" w:rsidRPr="005954E7" w:rsidRDefault="00B7757A" w:rsidP="00261A4F">
            <w:pPr>
              <w:pStyle w:val="Bezmezer"/>
              <w:jc w:val="both"/>
              <w:rPr>
                <w:sz w:val="18"/>
                <w:szCs w:val="18"/>
                <w:lang w:eastAsia="cs-CZ"/>
              </w:rPr>
            </w:pPr>
            <w:r w:rsidRPr="005954E7">
              <w:rPr>
                <w:sz w:val="18"/>
                <w:szCs w:val="18"/>
                <w:lang w:eastAsia="cs-CZ"/>
              </w:rPr>
              <w:t>60.281</w:t>
            </w:r>
          </w:p>
        </w:tc>
        <w:tc>
          <w:tcPr>
            <w:tcW w:w="1072" w:type="dxa"/>
            <w:vAlign w:val="center"/>
          </w:tcPr>
          <w:p w:rsidR="00B7757A" w:rsidRPr="005954E7" w:rsidRDefault="00B7757A" w:rsidP="00261A4F">
            <w:pPr>
              <w:pStyle w:val="Bezmezer"/>
              <w:jc w:val="both"/>
              <w:rPr>
                <w:sz w:val="18"/>
                <w:szCs w:val="18"/>
                <w:lang w:eastAsia="cs-CZ"/>
              </w:rPr>
            </w:pPr>
            <w:r w:rsidRPr="005954E7">
              <w:rPr>
                <w:sz w:val="18"/>
                <w:szCs w:val="18"/>
                <w:lang w:eastAsia="cs-CZ"/>
              </w:rPr>
              <w:t>50.800</w:t>
            </w:r>
          </w:p>
        </w:tc>
        <w:tc>
          <w:tcPr>
            <w:tcW w:w="1072" w:type="dxa"/>
            <w:vAlign w:val="center"/>
          </w:tcPr>
          <w:p w:rsidR="00B7757A" w:rsidRPr="005954E7" w:rsidRDefault="00B7757A" w:rsidP="00261A4F">
            <w:pPr>
              <w:pStyle w:val="Bezmezer"/>
              <w:jc w:val="both"/>
              <w:rPr>
                <w:sz w:val="18"/>
                <w:szCs w:val="18"/>
                <w:lang w:eastAsia="cs-CZ"/>
              </w:rPr>
            </w:pPr>
            <w:r w:rsidRPr="005954E7">
              <w:rPr>
                <w:sz w:val="18"/>
                <w:szCs w:val="18"/>
                <w:lang w:eastAsia="cs-CZ"/>
              </w:rPr>
              <w:t>41.041</w:t>
            </w:r>
          </w:p>
        </w:tc>
        <w:tc>
          <w:tcPr>
            <w:tcW w:w="1072" w:type="dxa"/>
            <w:vAlign w:val="center"/>
          </w:tcPr>
          <w:p w:rsidR="00B7757A" w:rsidRPr="005954E7" w:rsidRDefault="00B7757A" w:rsidP="00261A4F">
            <w:pPr>
              <w:pStyle w:val="Bezmezer"/>
              <w:jc w:val="both"/>
              <w:rPr>
                <w:sz w:val="18"/>
                <w:szCs w:val="18"/>
                <w:lang w:eastAsia="cs-CZ"/>
              </w:rPr>
            </w:pPr>
            <w:r w:rsidRPr="005954E7">
              <w:rPr>
                <w:sz w:val="18"/>
                <w:szCs w:val="18"/>
                <w:lang w:eastAsia="cs-CZ"/>
              </w:rPr>
              <w:t>31.991</w:t>
            </w:r>
          </w:p>
        </w:tc>
      </w:tr>
    </w:tbl>
    <w:p w:rsidR="00B7757A" w:rsidRPr="00261A4F" w:rsidRDefault="00B7757A" w:rsidP="00261A4F">
      <w:pPr>
        <w:pStyle w:val="Bezmezer"/>
        <w:jc w:val="both"/>
      </w:pPr>
    </w:p>
    <w:p w:rsidR="00261A4F" w:rsidRDefault="00261A4F" w:rsidP="00261A4F">
      <w:pPr>
        <w:pStyle w:val="Bezmezer"/>
        <w:jc w:val="both"/>
      </w:pPr>
    </w:p>
    <w:p w:rsidR="006D57E5" w:rsidRPr="00261A4F" w:rsidRDefault="006D57E5" w:rsidP="00261A4F">
      <w:pPr>
        <w:pStyle w:val="Bezmezer"/>
        <w:jc w:val="both"/>
      </w:pPr>
      <w:r w:rsidRPr="00261A4F">
        <w:t>Zdroj: vládní zpráva o rovnosti žen a mužů za rok 2016, školské statistické ročenky</w:t>
      </w:r>
    </w:p>
    <w:sectPr w:rsidR="006D57E5" w:rsidRPr="00261A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7E5"/>
    <w:rsid w:val="00261A4F"/>
    <w:rsid w:val="005954E7"/>
    <w:rsid w:val="006D57E5"/>
    <w:rsid w:val="00941083"/>
    <w:rsid w:val="00B7757A"/>
    <w:rsid w:val="00F6503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6D57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D57E5"/>
    <w:rPr>
      <w:rFonts w:ascii="Times New Roman" w:eastAsia="Times New Roman" w:hAnsi="Times New Roman" w:cs="Times New Roman"/>
      <w:b/>
      <w:bCs/>
      <w:kern w:val="36"/>
      <w:sz w:val="48"/>
      <w:szCs w:val="48"/>
      <w:lang w:eastAsia="cs-CZ"/>
    </w:rPr>
  </w:style>
  <w:style w:type="character" w:styleId="Hypertextovodkaz">
    <w:name w:val="Hyperlink"/>
    <w:basedOn w:val="Standardnpsmoodstavce"/>
    <w:uiPriority w:val="99"/>
    <w:semiHidden/>
    <w:unhideWhenUsed/>
    <w:rsid w:val="006D57E5"/>
    <w:rPr>
      <w:color w:val="0000FF"/>
      <w:u w:val="single"/>
    </w:rPr>
  </w:style>
  <w:style w:type="paragraph" w:styleId="Normlnweb">
    <w:name w:val="Normal (Web)"/>
    <w:basedOn w:val="Normln"/>
    <w:uiPriority w:val="99"/>
    <w:semiHidden/>
    <w:unhideWhenUsed/>
    <w:rsid w:val="006D57E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grey">
    <w:name w:val="grey"/>
    <w:basedOn w:val="Standardnpsmoodstavce"/>
    <w:rsid w:val="006D57E5"/>
  </w:style>
  <w:style w:type="character" w:customStyle="1" w:styleId="dt">
    <w:name w:val="dt"/>
    <w:basedOn w:val="Standardnpsmoodstavce"/>
    <w:rsid w:val="006D57E5"/>
  </w:style>
  <w:style w:type="paragraph" w:customStyle="1" w:styleId="big">
    <w:name w:val="big"/>
    <w:basedOn w:val="Normln"/>
    <w:rsid w:val="006D57E5"/>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6D57E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D57E5"/>
    <w:rPr>
      <w:rFonts w:ascii="Tahoma" w:hAnsi="Tahoma" w:cs="Tahoma"/>
      <w:sz w:val="16"/>
      <w:szCs w:val="16"/>
    </w:rPr>
  </w:style>
  <w:style w:type="table" w:styleId="Mkatabulky">
    <w:name w:val="Table Grid"/>
    <w:basedOn w:val="Normlntabulka"/>
    <w:uiPriority w:val="59"/>
    <w:rsid w:val="00B775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261A4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6D57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D57E5"/>
    <w:rPr>
      <w:rFonts w:ascii="Times New Roman" w:eastAsia="Times New Roman" w:hAnsi="Times New Roman" w:cs="Times New Roman"/>
      <w:b/>
      <w:bCs/>
      <w:kern w:val="36"/>
      <w:sz w:val="48"/>
      <w:szCs w:val="48"/>
      <w:lang w:eastAsia="cs-CZ"/>
    </w:rPr>
  </w:style>
  <w:style w:type="character" w:styleId="Hypertextovodkaz">
    <w:name w:val="Hyperlink"/>
    <w:basedOn w:val="Standardnpsmoodstavce"/>
    <w:uiPriority w:val="99"/>
    <w:semiHidden/>
    <w:unhideWhenUsed/>
    <w:rsid w:val="006D57E5"/>
    <w:rPr>
      <w:color w:val="0000FF"/>
      <w:u w:val="single"/>
    </w:rPr>
  </w:style>
  <w:style w:type="paragraph" w:styleId="Normlnweb">
    <w:name w:val="Normal (Web)"/>
    <w:basedOn w:val="Normln"/>
    <w:uiPriority w:val="99"/>
    <w:semiHidden/>
    <w:unhideWhenUsed/>
    <w:rsid w:val="006D57E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grey">
    <w:name w:val="grey"/>
    <w:basedOn w:val="Standardnpsmoodstavce"/>
    <w:rsid w:val="006D57E5"/>
  </w:style>
  <w:style w:type="character" w:customStyle="1" w:styleId="dt">
    <w:name w:val="dt"/>
    <w:basedOn w:val="Standardnpsmoodstavce"/>
    <w:rsid w:val="006D57E5"/>
  </w:style>
  <w:style w:type="paragraph" w:customStyle="1" w:styleId="big">
    <w:name w:val="big"/>
    <w:basedOn w:val="Normln"/>
    <w:rsid w:val="006D57E5"/>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6D57E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D57E5"/>
    <w:rPr>
      <w:rFonts w:ascii="Tahoma" w:hAnsi="Tahoma" w:cs="Tahoma"/>
      <w:sz w:val="16"/>
      <w:szCs w:val="16"/>
    </w:rPr>
  </w:style>
  <w:style w:type="table" w:styleId="Mkatabulky">
    <w:name w:val="Table Grid"/>
    <w:basedOn w:val="Normlntabulka"/>
    <w:uiPriority w:val="59"/>
    <w:rsid w:val="00B775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261A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894708">
      <w:bodyDiv w:val="1"/>
      <w:marLeft w:val="0"/>
      <w:marRight w:val="0"/>
      <w:marTop w:val="0"/>
      <w:marBottom w:val="0"/>
      <w:divBdr>
        <w:top w:val="none" w:sz="0" w:space="0" w:color="auto"/>
        <w:left w:val="none" w:sz="0" w:space="0" w:color="auto"/>
        <w:bottom w:val="none" w:sz="0" w:space="0" w:color="auto"/>
        <w:right w:val="none" w:sz="0" w:space="0" w:color="auto"/>
      </w:divBdr>
      <w:divsChild>
        <w:div w:id="414598076">
          <w:marLeft w:val="0"/>
          <w:marRight w:val="0"/>
          <w:marTop w:val="0"/>
          <w:marBottom w:val="0"/>
          <w:divBdr>
            <w:top w:val="none" w:sz="0" w:space="0" w:color="auto"/>
            <w:left w:val="none" w:sz="0" w:space="0" w:color="auto"/>
            <w:bottom w:val="none" w:sz="0" w:space="0" w:color="auto"/>
            <w:right w:val="none" w:sz="0" w:space="0" w:color="auto"/>
          </w:divBdr>
          <w:divsChild>
            <w:div w:id="1346055849">
              <w:marLeft w:val="0"/>
              <w:marRight w:val="0"/>
              <w:marTop w:val="0"/>
              <w:marBottom w:val="0"/>
              <w:divBdr>
                <w:top w:val="none" w:sz="0" w:space="0" w:color="auto"/>
                <w:left w:val="none" w:sz="0" w:space="0" w:color="auto"/>
                <w:bottom w:val="none" w:sz="0" w:space="0" w:color="auto"/>
                <w:right w:val="none" w:sz="0" w:space="0" w:color="auto"/>
              </w:divBdr>
              <w:divsChild>
                <w:div w:id="69275404">
                  <w:marLeft w:val="0"/>
                  <w:marRight w:val="0"/>
                  <w:marTop w:val="0"/>
                  <w:marBottom w:val="0"/>
                  <w:divBdr>
                    <w:top w:val="none" w:sz="0" w:space="0" w:color="auto"/>
                    <w:left w:val="none" w:sz="0" w:space="0" w:color="auto"/>
                    <w:bottom w:val="none" w:sz="0" w:space="0" w:color="auto"/>
                    <w:right w:val="none" w:sz="0" w:space="0" w:color="auto"/>
                  </w:divBdr>
                  <w:divsChild>
                    <w:div w:id="139462530">
                      <w:marLeft w:val="0"/>
                      <w:marRight w:val="0"/>
                      <w:marTop w:val="0"/>
                      <w:marBottom w:val="0"/>
                      <w:divBdr>
                        <w:top w:val="none" w:sz="0" w:space="0" w:color="auto"/>
                        <w:left w:val="none" w:sz="0" w:space="0" w:color="auto"/>
                        <w:bottom w:val="none" w:sz="0" w:space="0" w:color="auto"/>
                        <w:right w:val="none" w:sz="0" w:space="0" w:color="auto"/>
                      </w:divBdr>
                      <w:divsChild>
                        <w:div w:id="752967430">
                          <w:marLeft w:val="0"/>
                          <w:marRight w:val="0"/>
                          <w:marTop w:val="0"/>
                          <w:marBottom w:val="0"/>
                          <w:divBdr>
                            <w:top w:val="none" w:sz="0" w:space="0" w:color="auto"/>
                            <w:left w:val="none" w:sz="0" w:space="0" w:color="auto"/>
                            <w:bottom w:val="none" w:sz="0" w:space="0" w:color="auto"/>
                            <w:right w:val="none" w:sz="0" w:space="0" w:color="auto"/>
                          </w:divBdr>
                          <w:divsChild>
                            <w:div w:id="441730316">
                              <w:marLeft w:val="0"/>
                              <w:marRight w:val="0"/>
                              <w:marTop w:val="0"/>
                              <w:marBottom w:val="0"/>
                              <w:divBdr>
                                <w:top w:val="none" w:sz="0" w:space="0" w:color="auto"/>
                                <w:left w:val="none" w:sz="0" w:space="0" w:color="auto"/>
                                <w:bottom w:val="none" w:sz="0" w:space="0" w:color="auto"/>
                                <w:right w:val="none" w:sz="0" w:space="0" w:color="auto"/>
                              </w:divBdr>
                            </w:div>
                            <w:div w:id="1669863543">
                              <w:marLeft w:val="0"/>
                              <w:marRight w:val="0"/>
                              <w:marTop w:val="0"/>
                              <w:marBottom w:val="0"/>
                              <w:divBdr>
                                <w:top w:val="none" w:sz="0" w:space="0" w:color="auto"/>
                                <w:left w:val="none" w:sz="0" w:space="0" w:color="auto"/>
                                <w:bottom w:val="none" w:sz="0" w:space="0" w:color="auto"/>
                                <w:right w:val="none" w:sz="0" w:space="0" w:color="auto"/>
                              </w:divBdr>
                              <w:divsChild>
                                <w:div w:id="1921789317">
                                  <w:marLeft w:val="0"/>
                                  <w:marRight w:val="0"/>
                                  <w:marTop w:val="0"/>
                                  <w:marBottom w:val="0"/>
                                  <w:divBdr>
                                    <w:top w:val="none" w:sz="0" w:space="0" w:color="auto"/>
                                    <w:left w:val="none" w:sz="0" w:space="0" w:color="auto"/>
                                    <w:bottom w:val="none" w:sz="0" w:space="0" w:color="auto"/>
                                    <w:right w:val="none" w:sz="0" w:space="0" w:color="auto"/>
                                  </w:divBdr>
                                  <w:divsChild>
                                    <w:div w:id="203588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5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3253765">
      <w:bodyDiv w:val="1"/>
      <w:marLeft w:val="0"/>
      <w:marRight w:val="0"/>
      <w:marTop w:val="0"/>
      <w:marBottom w:val="0"/>
      <w:divBdr>
        <w:top w:val="none" w:sz="0" w:space="0" w:color="auto"/>
        <w:left w:val="none" w:sz="0" w:space="0" w:color="auto"/>
        <w:bottom w:val="none" w:sz="0" w:space="0" w:color="auto"/>
        <w:right w:val="none" w:sz="0" w:space="0" w:color="auto"/>
      </w:divBdr>
      <w:divsChild>
        <w:div w:id="1851142356">
          <w:marLeft w:val="0"/>
          <w:marRight w:val="0"/>
          <w:marTop w:val="0"/>
          <w:marBottom w:val="0"/>
          <w:divBdr>
            <w:top w:val="none" w:sz="0" w:space="0" w:color="auto"/>
            <w:left w:val="none" w:sz="0" w:space="0" w:color="auto"/>
            <w:bottom w:val="none" w:sz="0" w:space="0" w:color="auto"/>
            <w:right w:val="none" w:sz="0" w:space="0" w:color="auto"/>
          </w:divBdr>
          <w:divsChild>
            <w:div w:id="1230072459">
              <w:marLeft w:val="0"/>
              <w:marRight w:val="0"/>
              <w:marTop w:val="0"/>
              <w:marBottom w:val="0"/>
              <w:divBdr>
                <w:top w:val="none" w:sz="0" w:space="0" w:color="auto"/>
                <w:left w:val="none" w:sz="0" w:space="0" w:color="auto"/>
                <w:bottom w:val="none" w:sz="0" w:space="0" w:color="auto"/>
                <w:right w:val="none" w:sz="0" w:space="0" w:color="auto"/>
              </w:divBdr>
              <w:divsChild>
                <w:div w:id="1005323213">
                  <w:marLeft w:val="0"/>
                  <w:marRight w:val="0"/>
                  <w:marTop w:val="0"/>
                  <w:marBottom w:val="0"/>
                  <w:divBdr>
                    <w:top w:val="none" w:sz="0" w:space="0" w:color="auto"/>
                    <w:left w:val="none" w:sz="0" w:space="0" w:color="auto"/>
                    <w:bottom w:val="none" w:sz="0" w:space="0" w:color="auto"/>
                    <w:right w:val="none" w:sz="0" w:space="0" w:color="auto"/>
                  </w:divBdr>
                  <w:divsChild>
                    <w:div w:id="1318338352">
                      <w:marLeft w:val="0"/>
                      <w:marRight w:val="0"/>
                      <w:marTop w:val="0"/>
                      <w:marBottom w:val="0"/>
                      <w:divBdr>
                        <w:top w:val="none" w:sz="0" w:space="0" w:color="auto"/>
                        <w:left w:val="none" w:sz="0" w:space="0" w:color="auto"/>
                        <w:bottom w:val="none" w:sz="0" w:space="0" w:color="auto"/>
                        <w:right w:val="none" w:sz="0" w:space="0" w:color="auto"/>
                      </w:divBdr>
                      <w:divsChild>
                        <w:div w:id="340477882">
                          <w:marLeft w:val="0"/>
                          <w:marRight w:val="0"/>
                          <w:marTop w:val="0"/>
                          <w:marBottom w:val="0"/>
                          <w:divBdr>
                            <w:top w:val="none" w:sz="0" w:space="0" w:color="auto"/>
                            <w:left w:val="none" w:sz="0" w:space="0" w:color="auto"/>
                            <w:bottom w:val="none" w:sz="0" w:space="0" w:color="auto"/>
                            <w:right w:val="none" w:sz="0" w:space="0" w:color="auto"/>
                          </w:divBdr>
                          <w:divsChild>
                            <w:div w:id="84478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558</Words>
  <Characters>3296</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Pohlová Veronika Mgr.(MPSV)</dc:creator>
  <cp:lastModifiedBy>Pohlová Veronika Mgr.(MPSV)</cp:lastModifiedBy>
  <cp:revision>3</cp:revision>
  <dcterms:created xsi:type="dcterms:W3CDTF">2017-06-09T11:36:00Z</dcterms:created>
  <dcterms:modified xsi:type="dcterms:W3CDTF">2017-06-09T11:57:00Z</dcterms:modified>
</cp:coreProperties>
</file>