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5F254" w14:textId="195864D5" w:rsidR="00037BA7" w:rsidRPr="008B09CF" w:rsidRDefault="0082221D" w:rsidP="00A97B95">
      <w:pPr>
        <w:jc w:val="center"/>
        <w:rPr>
          <w:rFonts w:cs="Times New Roman"/>
          <w:b/>
          <w:sz w:val="28"/>
          <w:szCs w:val="24"/>
          <w:lang w:val="cs-CZ"/>
        </w:rPr>
      </w:pPr>
      <w:r w:rsidRPr="008B09CF">
        <w:rPr>
          <w:rFonts w:cs="Times New Roman"/>
          <w:b/>
          <w:sz w:val="28"/>
          <w:szCs w:val="24"/>
          <w:lang w:val="cs-CZ"/>
        </w:rPr>
        <w:t>Analýza</w:t>
      </w:r>
      <w:r w:rsidR="002D1B4B" w:rsidRPr="008B09CF">
        <w:rPr>
          <w:rFonts w:cs="Times New Roman"/>
          <w:b/>
          <w:sz w:val="28"/>
          <w:szCs w:val="24"/>
          <w:lang w:val="cs-CZ"/>
        </w:rPr>
        <w:t xml:space="preserve"> financování MŠ ve Středočeském kraji</w:t>
      </w:r>
    </w:p>
    <w:p w14:paraId="7311B9CF" w14:textId="444CC299" w:rsidR="002D1B4B" w:rsidRPr="008B09CF" w:rsidRDefault="00A97B95" w:rsidP="00A97B95">
      <w:pPr>
        <w:jc w:val="center"/>
        <w:rPr>
          <w:rFonts w:cs="Times New Roman"/>
          <w:szCs w:val="24"/>
          <w:lang w:val="cs-CZ"/>
        </w:rPr>
      </w:pPr>
      <w:r w:rsidRPr="008B09CF">
        <w:rPr>
          <w:rFonts w:cs="Times New Roman"/>
          <w:szCs w:val="24"/>
          <w:lang w:val="cs-CZ"/>
        </w:rPr>
        <w:t>Zpracovala: Lucie Sedmihradská</w:t>
      </w:r>
    </w:p>
    <w:p w14:paraId="4DC4332B" w14:textId="044A1896" w:rsidR="000A1C5A" w:rsidRPr="008B09CF" w:rsidRDefault="000A1C5A" w:rsidP="0082221D">
      <w:pPr>
        <w:jc w:val="both"/>
        <w:rPr>
          <w:rFonts w:cs="Times New Roman"/>
          <w:b/>
          <w:szCs w:val="24"/>
          <w:lang w:val="cs-CZ"/>
        </w:rPr>
      </w:pPr>
      <w:r w:rsidRPr="008B09CF">
        <w:rPr>
          <w:rFonts w:cs="Times New Roman"/>
          <w:b/>
          <w:szCs w:val="24"/>
          <w:lang w:val="cs-CZ"/>
        </w:rPr>
        <w:t>Úvod</w:t>
      </w:r>
    </w:p>
    <w:p w14:paraId="299DDC9B" w14:textId="63B4D027" w:rsidR="000A1C5A" w:rsidRPr="008B09CF" w:rsidRDefault="000A1C5A" w:rsidP="005170F8">
      <w:pPr>
        <w:jc w:val="both"/>
        <w:rPr>
          <w:lang w:val="cs-CZ"/>
        </w:rPr>
      </w:pPr>
      <w:r w:rsidRPr="008B09CF">
        <w:rPr>
          <w:lang w:val="cs-CZ"/>
        </w:rPr>
        <w:t xml:space="preserve">Až na výjimky jsou zřizovateli mateřských škol (MŠ) obce. Jejich financování je však vícezdrojové a obce ze svého rozpočtu hradí jen část výdajů souvisejících s provozem MŠ. Cílem této analýzy je zjistit, kolik činí běžné výdaje obcí na jedno dítě navštěvující MŠ. Analýza byla provedena pro rok 2016 ve Středočeském kraji. </w:t>
      </w:r>
      <w:r w:rsidR="005170F8" w:rsidRPr="008B09CF">
        <w:rPr>
          <w:lang w:val="cs-CZ"/>
        </w:rPr>
        <w:t>Detailní postup analýzy je uveden v příloze.</w:t>
      </w:r>
    </w:p>
    <w:p w14:paraId="728CBCE6" w14:textId="7B188F37" w:rsidR="000A1C5A" w:rsidRPr="008B09CF" w:rsidRDefault="000A1C5A" w:rsidP="000A1C5A">
      <w:pPr>
        <w:rPr>
          <w:b/>
          <w:lang w:val="cs-CZ"/>
        </w:rPr>
      </w:pPr>
      <w:r w:rsidRPr="008B09CF">
        <w:rPr>
          <w:b/>
          <w:lang w:val="cs-CZ"/>
        </w:rPr>
        <w:t>Běžné výdaje obcí na mateřské školy</w:t>
      </w:r>
    </w:p>
    <w:p w14:paraId="213AFB10" w14:textId="66A72053" w:rsidR="002D1B4B" w:rsidRPr="008B09CF" w:rsidRDefault="002D1B4B" w:rsidP="0082221D">
      <w:pPr>
        <w:jc w:val="both"/>
        <w:rPr>
          <w:rFonts w:cs="Times New Roman"/>
          <w:szCs w:val="24"/>
          <w:lang w:val="cs-CZ"/>
        </w:rPr>
      </w:pPr>
      <w:r w:rsidRPr="008B09CF">
        <w:rPr>
          <w:rFonts w:cs="Times New Roman"/>
          <w:szCs w:val="24"/>
          <w:lang w:val="cs-CZ"/>
        </w:rPr>
        <w:t>Ve Středočeském kraji působilo v</w:t>
      </w:r>
      <w:r w:rsidR="000A1C5A" w:rsidRPr="008B09CF">
        <w:rPr>
          <w:rFonts w:cs="Times New Roman"/>
          <w:szCs w:val="24"/>
          <w:lang w:val="cs-CZ"/>
        </w:rPr>
        <w:t> </w:t>
      </w:r>
      <w:r w:rsidRPr="008B09CF">
        <w:rPr>
          <w:rFonts w:cs="Times New Roman"/>
          <w:szCs w:val="24"/>
          <w:lang w:val="cs-CZ"/>
        </w:rPr>
        <w:t>roce</w:t>
      </w:r>
      <w:r w:rsidR="000A1C5A" w:rsidRPr="008B09CF">
        <w:rPr>
          <w:rFonts w:cs="Times New Roman"/>
          <w:szCs w:val="24"/>
          <w:lang w:val="cs-CZ"/>
        </w:rPr>
        <w:t xml:space="preserve"> </w:t>
      </w:r>
      <w:r w:rsidRPr="008B09CF">
        <w:rPr>
          <w:rFonts w:cs="Times New Roman"/>
          <w:szCs w:val="24"/>
          <w:lang w:val="cs-CZ"/>
        </w:rPr>
        <w:t xml:space="preserve">2016 </w:t>
      </w:r>
      <w:r w:rsidR="00A97B95" w:rsidRPr="008B09CF">
        <w:rPr>
          <w:rFonts w:cs="Times New Roman"/>
          <w:szCs w:val="24"/>
          <w:lang w:val="cs-CZ"/>
        </w:rPr>
        <w:t xml:space="preserve">celkem </w:t>
      </w:r>
      <w:r w:rsidRPr="008B09CF">
        <w:rPr>
          <w:rFonts w:cs="Times New Roman"/>
          <w:szCs w:val="24"/>
          <w:lang w:val="cs-CZ"/>
        </w:rPr>
        <w:t xml:space="preserve">677 institucí, které získaly normativní financování v paragrafu 3111 Mateřské školy. Z nich 239 poskytovalo současně základní nebo jiné formy vzdělání (jedna příspěvková organizace zahrnuje jak mateřskou tak základní školu). 438 organizací jsou </w:t>
      </w:r>
      <w:r w:rsidR="00A97B95" w:rsidRPr="008B09CF">
        <w:rPr>
          <w:rFonts w:cs="Times New Roman"/>
          <w:szCs w:val="24"/>
          <w:lang w:val="cs-CZ"/>
        </w:rPr>
        <w:t xml:space="preserve">samostatné </w:t>
      </w:r>
      <w:r w:rsidRPr="008B09CF">
        <w:rPr>
          <w:rFonts w:cs="Times New Roman"/>
          <w:szCs w:val="24"/>
          <w:lang w:val="cs-CZ"/>
        </w:rPr>
        <w:t>mateřské školy.</w:t>
      </w:r>
    </w:p>
    <w:p w14:paraId="7AFB9B51" w14:textId="3E9C4684" w:rsidR="00A97B95" w:rsidRPr="008B09CF" w:rsidRDefault="00A97B95" w:rsidP="00A97B95">
      <w:pPr>
        <w:pStyle w:val="Titulek"/>
        <w:rPr>
          <w:rFonts w:cs="Times New Roman"/>
          <w:szCs w:val="24"/>
          <w:lang w:val="cs-CZ"/>
        </w:rPr>
      </w:pPr>
      <w:r w:rsidRPr="008B09CF">
        <w:rPr>
          <w:rFonts w:cs="Times New Roman"/>
          <w:szCs w:val="24"/>
          <w:lang w:val="cs-CZ"/>
        </w:rPr>
        <w:t xml:space="preserve">Tab. </w:t>
      </w:r>
      <w:r w:rsidRPr="008B09CF">
        <w:rPr>
          <w:rFonts w:cs="Times New Roman"/>
          <w:szCs w:val="24"/>
          <w:lang w:val="cs-CZ"/>
        </w:rPr>
        <w:fldChar w:fldCharType="begin"/>
      </w:r>
      <w:r w:rsidRPr="008B09CF">
        <w:rPr>
          <w:rFonts w:cs="Times New Roman"/>
          <w:szCs w:val="24"/>
          <w:lang w:val="cs-CZ"/>
        </w:rPr>
        <w:instrText xml:space="preserve"> SEQ Tab. \* ARABIC </w:instrText>
      </w:r>
      <w:r w:rsidRPr="008B09CF">
        <w:rPr>
          <w:rFonts w:cs="Times New Roman"/>
          <w:szCs w:val="24"/>
          <w:lang w:val="cs-CZ"/>
        </w:rPr>
        <w:fldChar w:fldCharType="separate"/>
      </w:r>
      <w:r w:rsidR="001E5127" w:rsidRPr="008B09CF">
        <w:rPr>
          <w:rFonts w:cs="Times New Roman"/>
          <w:szCs w:val="24"/>
          <w:lang w:val="cs-CZ"/>
        </w:rPr>
        <w:t>1</w:t>
      </w:r>
      <w:r w:rsidRPr="008B09CF">
        <w:rPr>
          <w:rFonts w:cs="Times New Roman"/>
          <w:szCs w:val="24"/>
          <w:lang w:val="cs-CZ"/>
        </w:rPr>
        <w:fldChar w:fldCharType="end"/>
      </w:r>
      <w:r w:rsidRPr="008B09CF">
        <w:rPr>
          <w:rFonts w:cs="Times New Roman"/>
          <w:szCs w:val="24"/>
          <w:lang w:val="cs-CZ"/>
        </w:rPr>
        <w:t>: Počet dětí navštěvují</w:t>
      </w:r>
      <w:r w:rsidR="0082221D" w:rsidRPr="008B09CF">
        <w:rPr>
          <w:rFonts w:cs="Times New Roman"/>
          <w:szCs w:val="24"/>
          <w:lang w:val="cs-CZ"/>
        </w:rPr>
        <w:t>cí</w:t>
      </w:r>
      <w:r w:rsidRPr="008B09CF">
        <w:rPr>
          <w:rFonts w:cs="Times New Roman"/>
          <w:szCs w:val="24"/>
          <w:lang w:val="cs-CZ"/>
        </w:rPr>
        <w:t>ch mateřské školy, počet příspěvkových organizací poskytujících předškolní vzdělání a počet obcí – zřizovatelů (2016)</w:t>
      </w:r>
    </w:p>
    <w:tbl>
      <w:tblPr>
        <w:tblStyle w:val="ListTable6Colorful"/>
        <w:tblW w:w="5000" w:type="pct"/>
        <w:tblLook w:val="06A0" w:firstRow="1" w:lastRow="0" w:firstColumn="1" w:lastColumn="0" w:noHBand="1" w:noVBand="1"/>
      </w:tblPr>
      <w:tblGrid>
        <w:gridCol w:w="3775"/>
        <w:gridCol w:w="1839"/>
        <w:gridCol w:w="1839"/>
        <w:gridCol w:w="1835"/>
      </w:tblGrid>
      <w:tr w:rsidR="002D1B4B" w:rsidRPr="008B09CF" w14:paraId="5B1C566D" w14:textId="77777777" w:rsidTr="002D1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noWrap/>
            <w:hideMark/>
          </w:tcPr>
          <w:p w14:paraId="21E2189F" w14:textId="0CBBDF25" w:rsidR="002D1B4B" w:rsidRPr="008B09CF" w:rsidRDefault="002D1B4B" w:rsidP="000A1C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/>
              </w:rPr>
            </w:pPr>
          </w:p>
        </w:tc>
        <w:tc>
          <w:tcPr>
            <w:tcW w:w="990" w:type="pct"/>
            <w:noWrap/>
            <w:hideMark/>
          </w:tcPr>
          <w:p w14:paraId="79D75962" w14:textId="7E439F88" w:rsidR="002D1B4B" w:rsidRPr="008B09CF" w:rsidRDefault="002D1B4B" w:rsidP="000A1C5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ZŠ a MŠ</w:t>
            </w:r>
          </w:p>
        </w:tc>
        <w:tc>
          <w:tcPr>
            <w:tcW w:w="990" w:type="pct"/>
            <w:noWrap/>
            <w:hideMark/>
          </w:tcPr>
          <w:p w14:paraId="558D0BB2" w14:textId="11E40A73" w:rsidR="002D1B4B" w:rsidRPr="008B09CF" w:rsidRDefault="002D1B4B" w:rsidP="000A1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MŠ</w:t>
            </w:r>
          </w:p>
        </w:tc>
        <w:tc>
          <w:tcPr>
            <w:tcW w:w="989" w:type="pct"/>
            <w:noWrap/>
            <w:hideMark/>
          </w:tcPr>
          <w:p w14:paraId="1F0698B0" w14:textId="444B819D" w:rsidR="002D1B4B" w:rsidRPr="008B09CF" w:rsidRDefault="002D1B4B" w:rsidP="000A1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Celkem</w:t>
            </w:r>
          </w:p>
        </w:tc>
      </w:tr>
      <w:tr w:rsidR="002D1B4B" w:rsidRPr="008B09CF" w14:paraId="3CB6E941" w14:textId="77777777" w:rsidTr="002D1B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noWrap/>
            <w:hideMark/>
          </w:tcPr>
          <w:p w14:paraId="692C802B" w14:textId="5E66E50A" w:rsidR="002D1B4B" w:rsidRPr="008B09CF" w:rsidRDefault="002D1B4B" w:rsidP="002D1B4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Počet dětí</w:t>
            </w:r>
          </w:p>
        </w:tc>
        <w:tc>
          <w:tcPr>
            <w:tcW w:w="990" w:type="pct"/>
            <w:noWrap/>
            <w:hideMark/>
          </w:tcPr>
          <w:p w14:paraId="6B3DD307" w14:textId="3CFCEBE6" w:rsidR="002D1B4B" w:rsidRPr="008B09CF" w:rsidRDefault="002D1B4B" w:rsidP="002D1B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13</w:t>
            </w:r>
            <w:r w:rsidR="000A1C5A"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229</w:t>
            </w:r>
          </w:p>
        </w:tc>
        <w:tc>
          <w:tcPr>
            <w:tcW w:w="990" w:type="pct"/>
            <w:noWrap/>
            <w:hideMark/>
          </w:tcPr>
          <w:p w14:paraId="3DD5927A" w14:textId="2CB49194" w:rsidR="002D1B4B" w:rsidRPr="008B09CF" w:rsidRDefault="002D1B4B" w:rsidP="002D1B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33</w:t>
            </w:r>
            <w:r w:rsidR="000A1C5A"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942</w:t>
            </w:r>
          </w:p>
        </w:tc>
        <w:tc>
          <w:tcPr>
            <w:tcW w:w="989" w:type="pct"/>
            <w:noWrap/>
            <w:hideMark/>
          </w:tcPr>
          <w:p w14:paraId="4561318E" w14:textId="4C94A46F" w:rsidR="002D1B4B" w:rsidRPr="008B09CF" w:rsidRDefault="002D1B4B" w:rsidP="002D1B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47</w:t>
            </w:r>
            <w:r w:rsidR="000A1C5A"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171</w:t>
            </w:r>
          </w:p>
        </w:tc>
      </w:tr>
      <w:tr w:rsidR="002D1B4B" w:rsidRPr="008B09CF" w14:paraId="2154B35F" w14:textId="77777777" w:rsidTr="002D1B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noWrap/>
            <w:hideMark/>
          </w:tcPr>
          <w:p w14:paraId="501F4631" w14:textId="626210AE" w:rsidR="002D1B4B" w:rsidRPr="008B09CF" w:rsidRDefault="002D1B4B" w:rsidP="002D1B4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Počet příspěvkových organizací</w:t>
            </w:r>
          </w:p>
        </w:tc>
        <w:tc>
          <w:tcPr>
            <w:tcW w:w="990" w:type="pct"/>
            <w:noWrap/>
            <w:hideMark/>
          </w:tcPr>
          <w:p w14:paraId="5AD4AF00" w14:textId="77777777" w:rsidR="002D1B4B" w:rsidRPr="008B09CF" w:rsidRDefault="002D1B4B" w:rsidP="002D1B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239</w:t>
            </w:r>
          </w:p>
        </w:tc>
        <w:tc>
          <w:tcPr>
            <w:tcW w:w="990" w:type="pct"/>
            <w:noWrap/>
            <w:hideMark/>
          </w:tcPr>
          <w:p w14:paraId="2C4A6DBD" w14:textId="77777777" w:rsidR="002D1B4B" w:rsidRPr="008B09CF" w:rsidRDefault="002D1B4B" w:rsidP="002D1B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438</w:t>
            </w:r>
          </w:p>
        </w:tc>
        <w:tc>
          <w:tcPr>
            <w:tcW w:w="989" w:type="pct"/>
            <w:noWrap/>
            <w:hideMark/>
          </w:tcPr>
          <w:p w14:paraId="3E60C43A" w14:textId="77777777" w:rsidR="002D1B4B" w:rsidRPr="008B09CF" w:rsidRDefault="002D1B4B" w:rsidP="002D1B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677</w:t>
            </w:r>
          </w:p>
        </w:tc>
      </w:tr>
      <w:tr w:rsidR="00D66831" w:rsidRPr="008B09CF" w14:paraId="1E3BDB99" w14:textId="77777777" w:rsidTr="002D1B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noWrap/>
          </w:tcPr>
          <w:p w14:paraId="7BE1659D" w14:textId="006A070C" w:rsidR="00D66831" w:rsidRPr="008B09CF" w:rsidRDefault="00D66831" w:rsidP="00D66831">
            <w:pPr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cs="Times New Roman"/>
                <w:szCs w:val="24"/>
                <w:lang w:val="cs-CZ"/>
              </w:rPr>
              <w:t>Počet obcí</w:t>
            </w:r>
          </w:p>
        </w:tc>
        <w:tc>
          <w:tcPr>
            <w:tcW w:w="990" w:type="pct"/>
            <w:noWrap/>
          </w:tcPr>
          <w:p w14:paraId="11043DB6" w14:textId="730F5DD7" w:rsidR="00D66831" w:rsidRPr="008B09CF" w:rsidRDefault="00D66831" w:rsidP="002D1B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222</w:t>
            </w:r>
          </w:p>
        </w:tc>
        <w:tc>
          <w:tcPr>
            <w:tcW w:w="990" w:type="pct"/>
            <w:noWrap/>
          </w:tcPr>
          <w:p w14:paraId="6AC02464" w14:textId="0578C61F" w:rsidR="00D66831" w:rsidRPr="008B09CF" w:rsidRDefault="00D66831" w:rsidP="000A1C5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3</w:t>
            </w:r>
            <w:r w:rsidR="000A1C5A"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45</w:t>
            </w:r>
          </w:p>
        </w:tc>
        <w:tc>
          <w:tcPr>
            <w:tcW w:w="989" w:type="pct"/>
            <w:noWrap/>
          </w:tcPr>
          <w:p w14:paraId="6840EFC9" w14:textId="10330803" w:rsidR="00D66831" w:rsidRPr="008B09CF" w:rsidRDefault="00D66831" w:rsidP="002D1B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Cs w:val="24"/>
                <w:lang w:val="cs-CZ"/>
              </w:rPr>
              <w:t>567</w:t>
            </w:r>
          </w:p>
        </w:tc>
      </w:tr>
    </w:tbl>
    <w:p w14:paraId="4D76B39E" w14:textId="42CBDEF3" w:rsidR="00A97B95" w:rsidRPr="008B09CF" w:rsidRDefault="00A97B95" w:rsidP="0082221D">
      <w:pPr>
        <w:rPr>
          <w:color w:val="000000"/>
          <w:sz w:val="18"/>
          <w:lang w:val="cs-CZ"/>
        </w:rPr>
      </w:pPr>
      <w:r w:rsidRPr="008B09CF">
        <w:rPr>
          <w:sz w:val="18"/>
          <w:lang w:val="cs-CZ"/>
        </w:rPr>
        <w:t>Pramen: Normativní schválený rozpočet pro rok 2017 (obecní školy a škol. zařízení)</w:t>
      </w:r>
      <w:r w:rsidRPr="008B09CF">
        <w:rPr>
          <w:rStyle w:val="Znakapoznpodarou"/>
          <w:rFonts w:eastAsia="Times New Roman" w:cs="Times New Roman"/>
          <w:color w:val="184195"/>
          <w:sz w:val="18"/>
          <w:szCs w:val="24"/>
          <w:u w:val="single"/>
          <w:lang w:val="cs-CZ"/>
        </w:rPr>
        <w:footnoteReference w:id="1"/>
      </w:r>
      <w:r w:rsidRPr="008B09CF">
        <w:rPr>
          <w:sz w:val="18"/>
          <w:lang w:val="cs-CZ"/>
        </w:rPr>
        <w:t>, ARES</w:t>
      </w:r>
      <w:r w:rsidR="0082221D" w:rsidRPr="008B09CF">
        <w:rPr>
          <w:rStyle w:val="Znakapoznpodarou"/>
          <w:rFonts w:eastAsia="Times New Roman" w:cs="Times New Roman"/>
          <w:color w:val="184195"/>
          <w:sz w:val="18"/>
          <w:szCs w:val="24"/>
          <w:u w:val="single"/>
          <w:lang w:val="cs-CZ"/>
        </w:rPr>
        <w:footnoteReference w:id="2"/>
      </w:r>
    </w:p>
    <w:p w14:paraId="12EB129B" w14:textId="78FE6BA4" w:rsidR="00D66831" w:rsidRPr="008B09CF" w:rsidRDefault="00D66831" w:rsidP="008B09CF">
      <w:pPr>
        <w:jc w:val="both"/>
        <w:rPr>
          <w:rFonts w:cs="Times New Roman"/>
          <w:szCs w:val="24"/>
          <w:lang w:val="cs-CZ"/>
        </w:rPr>
      </w:pPr>
      <w:r w:rsidRPr="008B09CF">
        <w:rPr>
          <w:rFonts w:cs="Times New Roman"/>
          <w:szCs w:val="24"/>
          <w:lang w:val="cs-CZ"/>
        </w:rPr>
        <w:t>578 obcí z 1145 (50%) nezřizuje žádnou instituci.</w:t>
      </w:r>
      <w:r w:rsidR="001546A2" w:rsidRPr="008B09CF">
        <w:rPr>
          <w:rFonts w:cs="Times New Roman"/>
          <w:szCs w:val="24"/>
          <w:lang w:val="cs-CZ"/>
        </w:rPr>
        <w:t xml:space="preserve"> 137 obcí</w:t>
      </w:r>
      <w:r w:rsidR="000A1C5A" w:rsidRPr="008B09CF">
        <w:rPr>
          <w:rFonts w:cs="Times New Roman"/>
          <w:szCs w:val="24"/>
          <w:lang w:val="cs-CZ"/>
        </w:rPr>
        <w:t xml:space="preserve"> (62%)</w:t>
      </w:r>
      <w:r w:rsidR="001546A2" w:rsidRPr="008B09CF">
        <w:rPr>
          <w:rFonts w:cs="Times New Roman"/>
          <w:szCs w:val="24"/>
          <w:lang w:val="cs-CZ"/>
        </w:rPr>
        <w:t xml:space="preserve">, které zřizují </w:t>
      </w:r>
      <w:r w:rsidR="00842B13" w:rsidRPr="008B09CF">
        <w:rPr>
          <w:rFonts w:cs="Times New Roman"/>
          <w:szCs w:val="24"/>
          <w:lang w:val="cs-CZ"/>
        </w:rPr>
        <w:t>MŠ jako</w:t>
      </w:r>
      <w:r w:rsidR="001546A2" w:rsidRPr="008B09CF">
        <w:rPr>
          <w:rFonts w:cs="Times New Roman"/>
          <w:szCs w:val="24"/>
          <w:lang w:val="cs-CZ"/>
        </w:rPr>
        <w:t xml:space="preserve"> součást ZŠ</w:t>
      </w:r>
      <w:r w:rsidR="00F63D2A">
        <w:rPr>
          <w:rFonts w:cs="Times New Roman"/>
          <w:szCs w:val="24"/>
          <w:lang w:val="cs-CZ"/>
        </w:rPr>
        <w:t>,</w:t>
      </w:r>
      <w:r w:rsidR="001546A2" w:rsidRPr="008B09CF">
        <w:rPr>
          <w:rFonts w:cs="Times New Roman"/>
          <w:szCs w:val="24"/>
          <w:lang w:val="cs-CZ"/>
        </w:rPr>
        <w:t xml:space="preserve"> nevykazuje běžné výdaje na MŠ odděleně</w:t>
      </w:r>
      <w:r w:rsidR="000A1C5A" w:rsidRPr="008B09CF">
        <w:rPr>
          <w:rFonts w:cs="Times New Roman"/>
          <w:szCs w:val="24"/>
          <w:lang w:val="cs-CZ"/>
        </w:rPr>
        <w:t xml:space="preserve"> (resp. nevykazuje žádné výdaje na MŠ)</w:t>
      </w:r>
      <w:r w:rsidR="001546A2" w:rsidRPr="008B09CF">
        <w:rPr>
          <w:rFonts w:cs="Times New Roman"/>
          <w:szCs w:val="24"/>
          <w:lang w:val="cs-CZ"/>
        </w:rPr>
        <w:t>.</w:t>
      </w:r>
    </w:p>
    <w:p w14:paraId="2BE09274" w14:textId="3A28AED0" w:rsidR="001546A2" w:rsidRPr="008B09CF" w:rsidRDefault="00464AAE" w:rsidP="008B09CF">
      <w:pPr>
        <w:jc w:val="both"/>
        <w:rPr>
          <w:rFonts w:cs="Times New Roman"/>
          <w:szCs w:val="24"/>
          <w:lang w:val="cs-CZ"/>
        </w:rPr>
      </w:pPr>
      <w:r w:rsidRPr="008B09CF">
        <w:rPr>
          <w:rFonts w:cs="Times New Roman"/>
          <w:szCs w:val="24"/>
          <w:lang w:val="cs-CZ"/>
        </w:rPr>
        <w:t>Analýza výdajů obcí na MŠ zahrnuje 34</w:t>
      </w:r>
      <w:r w:rsidR="00A97B95" w:rsidRPr="008B09CF">
        <w:rPr>
          <w:rFonts w:cs="Times New Roman"/>
          <w:szCs w:val="24"/>
          <w:lang w:val="cs-CZ"/>
        </w:rPr>
        <w:t>5</w:t>
      </w:r>
      <w:r w:rsidRPr="008B09CF">
        <w:rPr>
          <w:rFonts w:cs="Times New Roman"/>
          <w:szCs w:val="24"/>
          <w:lang w:val="cs-CZ"/>
        </w:rPr>
        <w:t xml:space="preserve"> obcí Středočeského kraje, které zřizují pouze samostatné MŠ</w:t>
      </w:r>
      <w:r w:rsidR="000B7E5C" w:rsidRPr="008B09CF">
        <w:rPr>
          <w:rFonts w:cs="Times New Roman"/>
          <w:szCs w:val="24"/>
          <w:lang w:val="cs-CZ"/>
        </w:rPr>
        <w:t>.</w:t>
      </w:r>
      <w:r w:rsidR="0082221D" w:rsidRPr="008B09CF">
        <w:rPr>
          <w:rFonts w:cs="Times New Roman"/>
          <w:szCs w:val="24"/>
          <w:lang w:val="cs-CZ"/>
        </w:rPr>
        <w:t xml:space="preserve"> Účetnictví bohužel není perfektní, ve dvou příkladech např. obec nevykázala žádný neinvestiční transfer své příspěvkové organizaci. S ohledem na velké množství pozorování však lze uvedené průměrné hodnoty </w:t>
      </w:r>
      <w:r w:rsidR="005968AE" w:rsidRPr="008B09CF">
        <w:rPr>
          <w:rFonts w:cs="Times New Roman"/>
          <w:szCs w:val="24"/>
          <w:lang w:val="cs-CZ"/>
        </w:rPr>
        <w:t>brá</w:t>
      </w:r>
      <w:r w:rsidR="0082221D" w:rsidRPr="008B09CF">
        <w:rPr>
          <w:rFonts w:cs="Times New Roman"/>
          <w:szCs w:val="24"/>
          <w:lang w:val="cs-CZ"/>
        </w:rPr>
        <w:t xml:space="preserve">t jako </w:t>
      </w:r>
      <w:r w:rsidR="000A1C5A" w:rsidRPr="008B09CF">
        <w:rPr>
          <w:rFonts w:cs="Times New Roman"/>
          <w:szCs w:val="24"/>
          <w:lang w:val="cs-CZ"/>
        </w:rPr>
        <w:t xml:space="preserve">poměrně </w:t>
      </w:r>
      <w:r w:rsidR="0082221D" w:rsidRPr="008B09CF">
        <w:rPr>
          <w:rFonts w:cs="Times New Roman"/>
          <w:szCs w:val="24"/>
          <w:lang w:val="cs-CZ"/>
        </w:rPr>
        <w:t>spolehlivé.</w:t>
      </w:r>
    </w:p>
    <w:p w14:paraId="25474A35" w14:textId="6D98B7F3" w:rsidR="005968AE" w:rsidRPr="008B09CF" w:rsidRDefault="005968AE" w:rsidP="008B09CF">
      <w:pPr>
        <w:jc w:val="both"/>
        <w:rPr>
          <w:rFonts w:cs="Times New Roman"/>
          <w:szCs w:val="24"/>
          <w:lang w:val="cs-CZ"/>
        </w:rPr>
      </w:pPr>
      <w:r w:rsidRPr="008B09CF">
        <w:rPr>
          <w:rFonts w:cs="Times New Roman"/>
          <w:szCs w:val="24"/>
          <w:lang w:val="cs-CZ"/>
        </w:rPr>
        <w:lastRenderedPageBreak/>
        <w:t xml:space="preserve">Pro zjednodušení jsou běžné výdaje členěny do dvou skupin: neinvestiční transfery příspěvkovým organizacím, tj. výdaje na provoz MŠ, a ostatní běžné výdaje, tj. především výdaje na údržbu a opravy budovy. Průměrné hodnoty jsou uvedeny posledním řádku </w:t>
      </w:r>
      <w:r w:rsidRPr="008B09CF">
        <w:rPr>
          <w:rFonts w:cs="Times New Roman"/>
          <w:szCs w:val="24"/>
          <w:lang w:val="cs-CZ"/>
        </w:rPr>
        <w:fldChar w:fldCharType="begin"/>
      </w:r>
      <w:r w:rsidRPr="008B09CF">
        <w:rPr>
          <w:rFonts w:cs="Times New Roman"/>
          <w:szCs w:val="24"/>
          <w:lang w:val="cs-CZ"/>
        </w:rPr>
        <w:instrText xml:space="preserve"> REF _Ref497597689 \h </w:instrText>
      </w:r>
      <w:r w:rsidRPr="008B09CF">
        <w:rPr>
          <w:rFonts w:cs="Times New Roman"/>
          <w:szCs w:val="24"/>
          <w:lang w:val="cs-CZ"/>
        </w:rPr>
      </w:r>
      <w:r w:rsidRPr="008B09CF">
        <w:rPr>
          <w:rFonts w:cs="Times New Roman"/>
          <w:szCs w:val="24"/>
          <w:lang w:val="cs-CZ"/>
        </w:rPr>
        <w:fldChar w:fldCharType="separate"/>
      </w:r>
      <w:r w:rsidRPr="008B09CF">
        <w:rPr>
          <w:rFonts w:cs="Times New Roman"/>
          <w:szCs w:val="24"/>
          <w:lang w:val="cs-CZ"/>
        </w:rPr>
        <w:t>Tab. 2</w:t>
      </w:r>
      <w:r w:rsidRPr="008B09CF">
        <w:rPr>
          <w:rFonts w:cs="Times New Roman"/>
          <w:szCs w:val="24"/>
          <w:lang w:val="cs-CZ"/>
        </w:rPr>
        <w:fldChar w:fldCharType="end"/>
      </w:r>
      <w:r w:rsidRPr="008B09CF">
        <w:rPr>
          <w:rFonts w:cs="Times New Roman"/>
          <w:szCs w:val="24"/>
          <w:lang w:val="cs-CZ"/>
        </w:rPr>
        <w:t>.</w:t>
      </w:r>
    </w:p>
    <w:p w14:paraId="02FBAFEC" w14:textId="7C2B9D8B" w:rsidR="0082221D" w:rsidRPr="008B09CF" w:rsidRDefault="0082221D" w:rsidP="0082221D">
      <w:pPr>
        <w:pStyle w:val="Titulek"/>
        <w:rPr>
          <w:rFonts w:cs="Times New Roman"/>
          <w:szCs w:val="24"/>
          <w:lang w:val="cs-CZ"/>
        </w:rPr>
      </w:pPr>
      <w:bookmarkStart w:id="0" w:name="_Ref497597689"/>
      <w:r w:rsidRPr="008B09CF">
        <w:rPr>
          <w:rFonts w:cs="Times New Roman"/>
          <w:szCs w:val="24"/>
          <w:lang w:val="cs-CZ"/>
        </w:rPr>
        <w:t xml:space="preserve">Tab. </w:t>
      </w:r>
      <w:r w:rsidRPr="008B09CF">
        <w:rPr>
          <w:rFonts w:cs="Times New Roman"/>
          <w:szCs w:val="24"/>
          <w:lang w:val="cs-CZ"/>
        </w:rPr>
        <w:fldChar w:fldCharType="begin"/>
      </w:r>
      <w:r w:rsidRPr="008B09CF">
        <w:rPr>
          <w:rFonts w:cs="Times New Roman"/>
          <w:szCs w:val="24"/>
          <w:lang w:val="cs-CZ"/>
        </w:rPr>
        <w:instrText xml:space="preserve"> SEQ Tab. \* ARABIC </w:instrText>
      </w:r>
      <w:r w:rsidRPr="008B09CF">
        <w:rPr>
          <w:rFonts w:cs="Times New Roman"/>
          <w:szCs w:val="24"/>
          <w:lang w:val="cs-CZ"/>
        </w:rPr>
        <w:fldChar w:fldCharType="separate"/>
      </w:r>
      <w:r w:rsidR="001E5127" w:rsidRPr="008B09CF">
        <w:rPr>
          <w:rFonts w:cs="Times New Roman"/>
          <w:szCs w:val="24"/>
          <w:lang w:val="cs-CZ"/>
        </w:rPr>
        <w:t>2</w:t>
      </w:r>
      <w:r w:rsidRPr="008B09CF">
        <w:rPr>
          <w:rFonts w:cs="Times New Roman"/>
          <w:szCs w:val="24"/>
          <w:lang w:val="cs-CZ"/>
        </w:rPr>
        <w:fldChar w:fldCharType="end"/>
      </w:r>
      <w:bookmarkEnd w:id="0"/>
      <w:r w:rsidRPr="008B09CF">
        <w:rPr>
          <w:rFonts w:cs="Times New Roman"/>
          <w:szCs w:val="24"/>
          <w:lang w:val="cs-CZ"/>
        </w:rPr>
        <w:t xml:space="preserve">: Počet </w:t>
      </w:r>
      <w:r w:rsidR="000A1C5A" w:rsidRPr="008B09CF">
        <w:rPr>
          <w:rFonts w:cs="Times New Roman"/>
          <w:szCs w:val="24"/>
          <w:lang w:val="cs-CZ"/>
        </w:rPr>
        <w:t>dětí, MŠ</w:t>
      </w:r>
      <w:r w:rsidRPr="008B09CF">
        <w:rPr>
          <w:rFonts w:cs="Times New Roman"/>
          <w:szCs w:val="24"/>
          <w:lang w:val="cs-CZ"/>
        </w:rPr>
        <w:t xml:space="preserve"> a průměrné výdaje v členění podle počtu dětí navštěvujících MŠ v obci (2016)</w:t>
      </w:r>
    </w:p>
    <w:tbl>
      <w:tblPr>
        <w:tblStyle w:val="PlainTable2"/>
        <w:tblpPr w:leftFromText="180" w:rightFromText="180" w:vertAnchor="text" w:tblpY="1"/>
        <w:tblW w:w="0" w:type="auto"/>
        <w:tblLook w:val="06A0" w:firstRow="1" w:lastRow="0" w:firstColumn="1" w:lastColumn="0" w:noHBand="1" w:noVBand="1"/>
      </w:tblPr>
      <w:tblGrid>
        <w:gridCol w:w="1055"/>
        <w:gridCol w:w="766"/>
        <w:gridCol w:w="583"/>
        <w:gridCol w:w="550"/>
        <w:gridCol w:w="622"/>
        <w:gridCol w:w="1640"/>
        <w:gridCol w:w="2270"/>
        <w:gridCol w:w="1802"/>
      </w:tblGrid>
      <w:tr w:rsidR="005968AE" w:rsidRPr="008B09CF" w14:paraId="652B701E" w14:textId="308591CC" w:rsidTr="008C2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E42ECC" w14:textId="7A5B1553" w:rsidR="005968AE" w:rsidRPr="008B09CF" w:rsidRDefault="005968AE" w:rsidP="000A1C5A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Počet dětí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br/>
              <w:t>v obci</w:t>
            </w:r>
          </w:p>
        </w:tc>
        <w:tc>
          <w:tcPr>
            <w:tcW w:w="0" w:type="auto"/>
            <w:gridSpan w:val="2"/>
            <w:noWrap/>
            <w:hideMark/>
          </w:tcPr>
          <w:p w14:paraId="4D768CCF" w14:textId="5DBA55F3" w:rsidR="005968AE" w:rsidRPr="008B09CF" w:rsidRDefault="005968AE" w:rsidP="000A1C5A">
            <w:pPr>
              <w:keepNext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Počet/podíl 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br/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dětí</w:t>
            </w:r>
          </w:p>
        </w:tc>
        <w:tc>
          <w:tcPr>
            <w:tcW w:w="0" w:type="auto"/>
            <w:gridSpan w:val="2"/>
            <w:noWrap/>
            <w:hideMark/>
          </w:tcPr>
          <w:p w14:paraId="48E71C09" w14:textId="2376473B" w:rsidR="005968AE" w:rsidRPr="008B09CF" w:rsidRDefault="005968AE" w:rsidP="000A1C5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Počet/podíl 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br/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obcí</w:t>
            </w:r>
          </w:p>
        </w:tc>
        <w:tc>
          <w:tcPr>
            <w:tcW w:w="0" w:type="auto"/>
          </w:tcPr>
          <w:p w14:paraId="71044ECD" w14:textId="09D99A93" w:rsidR="005968AE" w:rsidRPr="008B09CF" w:rsidRDefault="005968AE" w:rsidP="000A1C5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Cs w:val="0"/>
                <w:color w:val="000000"/>
                <w:sz w:val="20"/>
                <w:szCs w:val="20"/>
                <w:lang w:val="cs-CZ"/>
              </w:rPr>
              <w:t>Transfer</w:t>
            </w:r>
            <w:r w:rsidR="000A1C5A" w:rsidRPr="008B09CF">
              <w:rPr>
                <w:rFonts w:cs="Times New Roman"/>
                <w:bCs w:val="0"/>
                <w:color w:val="000000"/>
                <w:sz w:val="20"/>
                <w:szCs w:val="20"/>
                <w:lang w:val="cs-CZ"/>
              </w:rPr>
              <w:t>y</w:t>
            </w:r>
            <w:r w:rsidRPr="008B09CF">
              <w:rPr>
                <w:rFonts w:cs="Times New Roman"/>
                <w:bCs w:val="0"/>
                <w:color w:val="000000"/>
                <w:sz w:val="20"/>
                <w:szCs w:val="20"/>
                <w:lang w:val="cs-CZ"/>
              </w:rPr>
              <w:t xml:space="preserve"> (Kč/dítě)</w:t>
            </w:r>
          </w:p>
        </w:tc>
        <w:tc>
          <w:tcPr>
            <w:tcW w:w="0" w:type="auto"/>
          </w:tcPr>
          <w:p w14:paraId="5F612C59" w14:textId="3CA6D7C0" w:rsidR="005968AE" w:rsidRPr="008B09CF" w:rsidRDefault="005968AE" w:rsidP="000A1C5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Cs w:val="0"/>
                <w:color w:val="000000"/>
                <w:sz w:val="20"/>
                <w:szCs w:val="20"/>
                <w:lang w:val="cs-CZ"/>
              </w:rPr>
              <w:t>Ostatní běžné výdaje (Kč/dítě)</w:t>
            </w:r>
          </w:p>
        </w:tc>
        <w:tc>
          <w:tcPr>
            <w:tcW w:w="0" w:type="auto"/>
          </w:tcPr>
          <w:p w14:paraId="0F371F8C" w14:textId="195FF8BB" w:rsidR="005968AE" w:rsidRPr="008B09CF" w:rsidRDefault="005968AE" w:rsidP="000A1C5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Cs w:val="0"/>
                <w:color w:val="000000"/>
                <w:sz w:val="20"/>
                <w:szCs w:val="20"/>
                <w:lang w:val="cs-CZ"/>
              </w:rPr>
              <w:t>Běžné výdaje (Kč/dítě)</w:t>
            </w:r>
          </w:p>
        </w:tc>
      </w:tr>
      <w:tr w:rsidR="005968AE" w:rsidRPr="008B09CF" w14:paraId="2748750B" w14:textId="50C1E891" w:rsidTr="008222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79097C" w14:textId="41EA6D94" w:rsidR="00CC18BF" w:rsidRPr="008B09CF" w:rsidRDefault="0082221D" w:rsidP="00C96F3D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Do 25</w:t>
            </w:r>
          </w:p>
        </w:tc>
        <w:tc>
          <w:tcPr>
            <w:tcW w:w="0" w:type="auto"/>
            <w:noWrap/>
            <w:hideMark/>
          </w:tcPr>
          <w:p w14:paraId="146DCB0B" w14:textId="2A12BAF8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283</w:t>
            </w:r>
          </w:p>
        </w:tc>
        <w:tc>
          <w:tcPr>
            <w:tcW w:w="0" w:type="auto"/>
            <w:noWrap/>
            <w:hideMark/>
          </w:tcPr>
          <w:p w14:paraId="5313152D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1E203152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5410E5B0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17%</w:t>
            </w:r>
          </w:p>
        </w:tc>
        <w:tc>
          <w:tcPr>
            <w:tcW w:w="0" w:type="auto"/>
          </w:tcPr>
          <w:p w14:paraId="0F42235C" w14:textId="5D2025A7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11 004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4F277B7F" w14:textId="0EE6D4EA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6 604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3A03F10C" w14:textId="7F4E3393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17 608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5968AE" w:rsidRPr="008B09CF" w14:paraId="4424FAD7" w14:textId="44432231" w:rsidTr="008222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EF440" w14:textId="5C9E7BE2" w:rsidR="00CC18BF" w:rsidRPr="008B09CF" w:rsidRDefault="00CC18BF" w:rsidP="00C96F3D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25</w:t>
            </w:r>
            <w:r w:rsidR="0082221D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-49</w:t>
            </w:r>
          </w:p>
        </w:tc>
        <w:tc>
          <w:tcPr>
            <w:tcW w:w="0" w:type="auto"/>
            <w:noWrap/>
            <w:hideMark/>
          </w:tcPr>
          <w:p w14:paraId="35ACF924" w14:textId="0CBF4FCF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055</w:t>
            </w:r>
          </w:p>
        </w:tc>
        <w:tc>
          <w:tcPr>
            <w:tcW w:w="0" w:type="auto"/>
            <w:noWrap/>
            <w:hideMark/>
          </w:tcPr>
          <w:p w14:paraId="47DEB544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15%</w:t>
            </w:r>
          </w:p>
        </w:tc>
        <w:tc>
          <w:tcPr>
            <w:tcW w:w="0" w:type="auto"/>
            <w:noWrap/>
            <w:hideMark/>
          </w:tcPr>
          <w:p w14:paraId="45DCCDB7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42CCC16B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35%</w:t>
            </w:r>
          </w:p>
        </w:tc>
        <w:tc>
          <w:tcPr>
            <w:tcW w:w="0" w:type="auto"/>
          </w:tcPr>
          <w:p w14:paraId="4EBB6790" w14:textId="5DD8FD21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11 039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41CD9A90" w14:textId="3C1AA199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2 743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5E837A8E" w14:textId="220076F2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13 782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5968AE" w:rsidRPr="008B09CF" w14:paraId="72C380DE" w14:textId="750181BC" w:rsidTr="008222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B7E332" w14:textId="28D7C297" w:rsidR="00CC18BF" w:rsidRPr="008B09CF" w:rsidRDefault="00CC18BF" w:rsidP="00C96F3D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50</w:t>
            </w:r>
            <w:r w:rsidR="0082221D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-74</w:t>
            </w:r>
          </w:p>
        </w:tc>
        <w:tc>
          <w:tcPr>
            <w:tcW w:w="0" w:type="auto"/>
            <w:noWrap/>
            <w:hideMark/>
          </w:tcPr>
          <w:p w14:paraId="7E93CDE0" w14:textId="19F77013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005</w:t>
            </w:r>
          </w:p>
        </w:tc>
        <w:tc>
          <w:tcPr>
            <w:tcW w:w="0" w:type="auto"/>
            <w:noWrap/>
            <w:hideMark/>
          </w:tcPr>
          <w:p w14:paraId="074E0CFB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14%</w:t>
            </w:r>
          </w:p>
        </w:tc>
        <w:tc>
          <w:tcPr>
            <w:tcW w:w="0" w:type="auto"/>
            <w:noWrap/>
            <w:hideMark/>
          </w:tcPr>
          <w:p w14:paraId="58549D5F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41263B73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20%</w:t>
            </w:r>
          </w:p>
        </w:tc>
        <w:tc>
          <w:tcPr>
            <w:tcW w:w="0" w:type="auto"/>
          </w:tcPr>
          <w:p w14:paraId="16E6CC8D" w14:textId="40462B14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10 808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6C595D3C" w14:textId="22DCC11F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1 739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55DAF591" w14:textId="444C1202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12 547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5968AE" w:rsidRPr="008B09CF" w14:paraId="00B3D3F5" w14:textId="4C0BA7A6" w:rsidTr="008222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33B989" w14:textId="783AB523" w:rsidR="00CC18BF" w:rsidRPr="008B09CF" w:rsidRDefault="00CC18BF" w:rsidP="00C96F3D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75</w:t>
            </w:r>
            <w:r w:rsidR="0082221D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-99</w:t>
            </w:r>
          </w:p>
        </w:tc>
        <w:tc>
          <w:tcPr>
            <w:tcW w:w="0" w:type="auto"/>
            <w:noWrap/>
            <w:hideMark/>
          </w:tcPr>
          <w:p w14:paraId="4861A465" w14:textId="5799C9CC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563</w:t>
            </w:r>
          </w:p>
        </w:tc>
        <w:tc>
          <w:tcPr>
            <w:tcW w:w="0" w:type="auto"/>
            <w:noWrap/>
            <w:hideMark/>
          </w:tcPr>
          <w:p w14:paraId="64EC988C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9%</w:t>
            </w:r>
          </w:p>
        </w:tc>
        <w:tc>
          <w:tcPr>
            <w:tcW w:w="0" w:type="auto"/>
            <w:noWrap/>
            <w:hideMark/>
          </w:tcPr>
          <w:p w14:paraId="63A5153D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4F2CB1F5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8%</w:t>
            </w:r>
          </w:p>
        </w:tc>
        <w:tc>
          <w:tcPr>
            <w:tcW w:w="0" w:type="auto"/>
          </w:tcPr>
          <w:p w14:paraId="11E3BBDF" w14:textId="601C79E0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10 661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25269606" w14:textId="26A8746C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1 367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762B5B53" w14:textId="07B1996F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12 028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5968AE" w:rsidRPr="008B09CF" w14:paraId="066A3514" w14:textId="785B7F0D" w:rsidTr="008222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D70A37" w14:textId="3A78AE9B" w:rsidR="00CC18BF" w:rsidRPr="008B09CF" w:rsidRDefault="00CC18BF" w:rsidP="00C96F3D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100</w:t>
            </w:r>
            <w:r w:rsidR="0082221D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-149</w:t>
            </w:r>
          </w:p>
        </w:tc>
        <w:tc>
          <w:tcPr>
            <w:tcW w:w="0" w:type="auto"/>
            <w:noWrap/>
            <w:hideMark/>
          </w:tcPr>
          <w:p w14:paraId="0DAF99E8" w14:textId="37F04460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3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476</w:t>
            </w:r>
          </w:p>
        </w:tc>
        <w:tc>
          <w:tcPr>
            <w:tcW w:w="0" w:type="auto"/>
            <w:noWrap/>
            <w:hideMark/>
          </w:tcPr>
          <w:p w14:paraId="24B0018F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13%</w:t>
            </w:r>
          </w:p>
        </w:tc>
        <w:tc>
          <w:tcPr>
            <w:tcW w:w="0" w:type="auto"/>
            <w:noWrap/>
            <w:hideMark/>
          </w:tcPr>
          <w:p w14:paraId="0F38837C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0618F48B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8%</w:t>
            </w:r>
          </w:p>
        </w:tc>
        <w:tc>
          <w:tcPr>
            <w:tcW w:w="0" w:type="auto"/>
          </w:tcPr>
          <w:p w14:paraId="0747EE08" w14:textId="06A2918C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10 746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0931D30A" w14:textId="5D7F1F12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1 862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69261852" w14:textId="14BDF162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12 608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5968AE" w:rsidRPr="008B09CF" w14:paraId="077EA163" w14:textId="757FF2B4" w:rsidTr="008222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83016B" w14:textId="6A190475" w:rsidR="00CC18BF" w:rsidRPr="008B09CF" w:rsidRDefault="0082221D" w:rsidP="00C96F3D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nad </w:t>
            </w:r>
            <w:r w:rsidR="00CC18BF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43DA2A18" w14:textId="0BD8EB08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12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266</w:t>
            </w:r>
          </w:p>
        </w:tc>
        <w:tc>
          <w:tcPr>
            <w:tcW w:w="0" w:type="auto"/>
            <w:noWrap/>
            <w:hideMark/>
          </w:tcPr>
          <w:p w14:paraId="238DB01A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44%</w:t>
            </w:r>
          </w:p>
        </w:tc>
        <w:tc>
          <w:tcPr>
            <w:tcW w:w="0" w:type="auto"/>
            <w:noWrap/>
            <w:hideMark/>
          </w:tcPr>
          <w:p w14:paraId="0DA99B48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3EB6D7B9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11%</w:t>
            </w:r>
          </w:p>
        </w:tc>
        <w:tc>
          <w:tcPr>
            <w:tcW w:w="0" w:type="auto"/>
          </w:tcPr>
          <w:p w14:paraId="63876CC1" w14:textId="256069B3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11 271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77F09E81" w14:textId="38D88903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1 157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488ED954" w14:textId="2E056341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12 428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5968AE" w:rsidRPr="008B09CF" w14:paraId="1024ED51" w14:textId="2B3441C2" w:rsidTr="008222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0209E4" w14:textId="28094886" w:rsidR="00CC18BF" w:rsidRPr="008B09CF" w:rsidRDefault="00CC18BF" w:rsidP="00C96F3D">
            <w:pPr>
              <w:keepNext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Celk</w:t>
            </w:r>
            <w:r w:rsidR="0082221D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em</w:t>
            </w:r>
          </w:p>
        </w:tc>
        <w:tc>
          <w:tcPr>
            <w:tcW w:w="0" w:type="auto"/>
            <w:noWrap/>
            <w:hideMark/>
          </w:tcPr>
          <w:p w14:paraId="094228C7" w14:textId="6CF7098B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>27</w:t>
            </w:r>
            <w:r w:rsidR="000A1C5A" w:rsidRPr="008B09CF"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>648</w:t>
            </w:r>
          </w:p>
        </w:tc>
        <w:tc>
          <w:tcPr>
            <w:tcW w:w="0" w:type="auto"/>
            <w:noWrap/>
            <w:hideMark/>
          </w:tcPr>
          <w:p w14:paraId="4A230F91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noWrap/>
            <w:hideMark/>
          </w:tcPr>
          <w:p w14:paraId="3E190D23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>345</w:t>
            </w:r>
          </w:p>
        </w:tc>
        <w:tc>
          <w:tcPr>
            <w:tcW w:w="0" w:type="auto"/>
            <w:noWrap/>
            <w:hideMark/>
          </w:tcPr>
          <w:p w14:paraId="6219BAEC" w14:textId="77777777" w:rsidR="00CC18BF" w:rsidRPr="008B09CF" w:rsidRDefault="00CC18BF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</w:tcPr>
          <w:p w14:paraId="63E79A11" w14:textId="1CD7BBC2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>10 955</w:t>
            </w: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760F60B5" w14:textId="1EAD680D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>2 854</w:t>
            </w: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0ECB8BF1" w14:textId="44B628EA" w:rsidR="00CC18BF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  <w:r w:rsidR="00CC18BF"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>13 809</w:t>
            </w: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1EBA75DB" w14:textId="0F3D231B" w:rsidR="0082221D" w:rsidRPr="008B09CF" w:rsidRDefault="0082221D" w:rsidP="005968AE">
      <w:pPr>
        <w:rPr>
          <w:color w:val="000000"/>
          <w:sz w:val="18"/>
          <w:lang w:val="cs-CZ"/>
        </w:rPr>
      </w:pPr>
      <w:r w:rsidRPr="008B09CF">
        <w:rPr>
          <w:sz w:val="18"/>
          <w:lang w:val="cs-CZ"/>
        </w:rPr>
        <w:t>Pramen: Normativní schválený rozpočet pro rok 2017 (obecní školy a škol. zařízení), ARES, Monitor</w:t>
      </w:r>
      <w:r w:rsidRPr="008B09CF">
        <w:rPr>
          <w:rStyle w:val="Znakapoznpodarou"/>
          <w:rFonts w:eastAsia="Times New Roman" w:cs="Times New Roman"/>
          <w:color w:val="184195"/>
          <w:sz w:val="18"/>
          <w:szCs w:val="24"/>
          <w:u w:val="single"/>
          <w:lang w:val="cs-CZ"/>
        </w:rPr>
        <w:footnoteReference w:id="3"/>
      </w:r>
    </w:p>
    <w:p w14:paraId="06158A73" w14:textId="3B67CE5C" w:rsidR="0082221D" w:rsidRPr="008B09CF" w:rsidRDefault="0082221D" w:rsidP="005968AE">
      <w:pPr>
        <w:pStyle w:val="Titulek"/>
        <w:rPr>
          <w:lang w:val="cs-CZ"/>
        </w:rPr>
      </w:pPr>
      <w:r w:rsidRPr="008B09CF">
        <w:rPr>
          <w:lang w:val="cs-CZ"/>
        </w:rPr>
        <w:t>Tab. 3: Počet MŠ, dětí a průměrné výdaje v členění podle velikosti obce (2016)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455"/>
        <w:gridCol w:w="877"/>
        <w:gridCol w:w="667"/>
        <w:gridCol w:w="741"/>
        <w:gridCol w:w="837"/>
        <w:gridCol w:w="1350"/>
        <w:gridCol w:w="1836"/>
        <w:gridCol w:w="1525"/>
      </w:tblGrid>
      <w:tr w:rsidR="000A1C5A" w:rsidRPr="008B09CF" w14:paraId="5712D009" w14:textId="2E2DA109" w:rsidTr="0059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A34A15" w14:textId="2B4DAACB" w:rsidR="005968AE" w:rsidRPr="008B09CF" w:rsidRDefault="005968AE" w:rsidP="000A1C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Počet 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obyvatel 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br/>
              <w:t>v obci</w:t>
            </w:r>
          </w:p>
        </w:tc>
        <w:tc>
          <w:tcPr>
            <w:tcW w:w="0" w:type="auto"/>
            <w:gridSpan w:val="2"/>
            <w:noWrap/>
            <w:hideMark/>
          </w:tcPr>
          <w:p w14:paraId="1CC6EEE8" w14:textId="4E46D73C" w:rsidR="005968AE" w:rsidRPr="008B09CF" w:rsidRDefault="005968AE" w:rsidP="005968A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Počet/podíl dětí</w:t>
            </w:r>
          </w:p>
        </w:tc>
        <w:tc>
          <w:tcPr>
            <w:tcW w:w="0" w:type="auto"/>
            <w:gridSpan w:val="2"/>
            <w:noWrap/>
            <w:hideMark/>
          </w:tcPr>
          <w:p w14:paraId="12E43004" w14:textId="5DE1CBA8" w:rsidR="005968AE" w:rsidRPr="008B09CF" w:rsidRDefault="005968AE" w:rsidP="005968A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Počet/podíl obcí</w:t>
            </w:r>
          </w:p>
        </w:tc>
        <w:tc>
          <w:tcPr>
            <w:tcW w:w="0" w:type="auto"/>
          </w:tcPr>
          <w:p w14:paraId="5D9D5499" w14:textId="7F201E9B" w:rsidR="005968AE" w:rsidRPr="008B09CF" w:rsidRDefault="005968AE" w:rsidP="005968A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Cs w:val="0"/>
                <w:color w:val="000000"/>
                <w:sz w:val="20"/>
                <w:szCs w:val="20"/>
                <w:lang w:val="cs-CZ"/>
              </w:rPr>
              <w:t>Transfer (Kč/dítě)</w:t>
            </w:r>
          </w:p>
        </w:tc>
        <w:tc>
          <w:tcPr>
            <w:tcW w:w="0" w:type="auto"/>
          </w:tcPr>
          <w:p w14:paraId="55E0BDE3" w14:textId="3F9C5AD6" w:rsidR="005968AE" w:rsidRPr="008B09CF" w:rsidRDefault="005968AE" w:rsidP="005968A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Cs w:val="0"/>
                <w:color w:val="000000"/>
                <w:sz w:val="20"/>
                <w:szCs w:val="20"/>
                <w:lang w:val="cs-CZ"/>
              </w:rPr>
              <w:t>Ostatní běžné výdaje (Kč/dítě)</w:t>
            </w:r>
          </w:p>
        </w:tc>
        <w:tc>
          <w:tcPr>
            <w:tcW w:w="0" w:type="auto"/>
          </w:tcPr>
          <w:p w14:paraId="48B89050" w14:textId="2DD8744A" w:rsidR="005968AE" w:rsidRPr="008B09CF" w:rsidRDefault="005968AE" w:rsidP="005968A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Cs w:val="0"/>
                <w:color w:val="000000"/>
                <w:sz w:val="20"/>
                <w:szCs w:val="20"/>
                <w:lang w:val="cs-CZ"/>
              </w:rPr>
              <w:t>Běžné výdaje (Kč/dítě)</w:t>
            </w:r>
          </w:p>
        </w:tc>
      </w:tr>
      <w:tr w:rsidR="000A1C5A" w:rsidRPr="008B09CF" w14:paraId="3DC0ACC4" w14:textId="181ABAC6" w:rsidTr="005968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C3C729" w14:textId="0ACED2A6" w:rsidR="005968AE" w:rsidRPr="008B09CF" w:rsidRDefault="005968AE" w:rsidP="00CC18B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0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-499</w:t>
            </w:r>
          </w:p>
        </w:tc>
        <w:tc>
          <w:tcPr>
            <w:tcW w:w="0" w:type="auto"/>
            <w:noWrap/>
            <w:hideMark/>
          </w:tcPr>
          <w:p w14:paraId="7CBC13DB" w14:textId="28AFBC34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</w:t>
            </w:r>
            <w:r w:rsidR="005170F8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012</w:t>
            </w:r>
          </w:p>
        </w:tc>
        <w:tc>
          <w:tcPr>
            <w:tcW w:w="0" w:type="auto"/>
            <w:noWrap/>
            <w:hideMark/>
          </w:tcPr>
          <w:p w14:paraId="5652BFF4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7%</w:t>
            </w:r>
          </w:p>
        </w:tc>
        <w:tc>
          <w:tcPr>
            <w:tcW w:w="0" w:type="auto"/>
            <w:noWrap/>
            <w:hideMark/>
          </w:tcPr>
          <w:p w14:paraId="3F9AD62C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32172A5B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22%</w:t>
            </w:r>
          </w:p>
        </w:tc>
        <w:tc>
          <w:tcPr>
            <w:tcW w:w="0" w:type="auto"/>
          </w:tcPr>
          <w:p w14:paraId="1E44B0F7" w14:textId="54DEB3D0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10 974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4BC2F080" w14:textId="1DBF92BF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5 938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706E43DA" w14:textId="13561524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16 911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0A1C5A" w:rsidRPr="008B09CF" w14:paraId="6AA0E753" w14:textId="33C33F1E" w:rsidTr="005968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B0AE87" w14:textId="491903A9" w:rsidR="005968AE" w:rsidRPr="008B09CF" w:rsidRDefault="005968AE" w:rsidP="00CC18B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500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-999</w:t>
            </w:r>
          </w:p>
        </w:tc>
        <w:tc>
          <w:tcPr>
            <w:tcW w:w="0" w:type="auto"/>
            <w:noWrap/>
            <w:hideMark/>
          </w:tcPr>
          <w:p w14:paraId="4C2423EB" w14:textId="43027296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</w:t>
            </w:r>
            <w:r w:rsidR="005170F8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2182D506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16%</w:t>
            </w:r>
          </w:p>
        </w:tc>
        <w:tc>
          <w:tcPr>
            <w:tcW w:w="0" w:type="auto"/>
            <w:noWrap/>
            <w:hideMark/>
          </w:tcPr>
          <w:p w14:paraId="33331B2D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4AA65893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34%</w:t>
            </w:r>
          </w:p>
        </w:tc>
        <w:tc>
          <w:tcPr>
            <w:tcW w:w="0" w:type="auto"/>
          </w:tcPr>
          <w:p w14:paraId="2726AE30" w14:textId="55DAC193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10 780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2D875AA6" w14:textId="0CD39D49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2 585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6AE5AE68" w14:textId="00EFFCFB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13 365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0A1C5A" w:rsidRPr="008B09CF" w14:paraId="6E809C35" w14:textId="4A19E416" w:rsidTr="005968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D758E2" w14:textId="1DC19801" w:rsidR="005968AE" w:rsidRPr="008B09CF" w:rsidRDefault="005968AE" w:rsidP="00CC18B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1000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-1999</w:t>
            </w:r>
          </w:p>
        </w:tc>
        <w:tc>
          <w:tcPr>
            <w:tcW w:w="0" w:type="auto"/>
            <w:noWrap/>
            <w:hideMark/>
          </w:tcPr>
          <w:p w14:paraId="1579A800" w14:textId="07C51700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</w:t>
            </w:r>
            <w:r w:rsidR="005170F8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410</w:t>
            </w:r>
          </w:p>
        </w:tc>
        <w:tc>
          <w:tcPr>
            <w:tcW w:w="0" w:type="auto"/>
            <w:noWrap/>
            <w:hideMark/>
          </w:tcPr>
          <w:p w14:paraId="772ECFEE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16%</w:t>
            </w:r>
          </w:p>
        </w:tc>
        <w:tc>
          <w:tcPr>
            <w:tcW w:w="0" w:type="auto"/>
            <w:noWrap/>
            <w:hideMark/>
          </w:tcPr>
          <w:p w14:paraId="59EBC5AF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450BBDE4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20%</w:t>
            </w:r>
          </w:p>
        </w:tc>
        <w:tc>
          <w:tcPr>
            <w:tcW w:w="0" w:type="auto"/>
          </w:tcPr>
          <w:p w14:paraId="0441473C" w14:textId="64808A84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10 973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64BE71BD" w14:textId="138ECADA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1 783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01455957" w14:textId="6E4AE951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12 756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0A1C5A" w:rsidRPr="008B09CF" w14:paraId="0213E154" w14:textId="3FFBF1D9" w:rsidTr="005968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F588ED" w14:textId="36649839" w:rsidR="005968AE" w:rsidRPr="008B09CF" w:rsidRDefault="005968AE" w:rsidP="00CC18B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2000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-4999</w:t>
            </w:r>
          </w:p>
        </w:tc>
        <w:tc>
          <w:tcPr>
            <w:tcW w:w="0" w:type="auto"/>
            <w:noWrap/>
            <w:hideMark/>
          </w:tcPr>
          <w:p w14:paraId="2492C6B0" w14:textId="2DEB097D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6</w:t>
            </w:r>
            <w:r w:rsidR="005170F8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635</w:t>
            </w:r>
          </w:p>
        </w:tc>
        <w:tc>
          <w:tcPr>
            <w:tcW w:w="0" w:type="auto"/>
            <w:noWrap/>
            <w:hideMark/>
          </w:tcPr>
          <w:p w14:paraId="2DDD1891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24%</w:t>
            </w:r>
          </w:p>
        </w:tc>
        <w:tc>
          <w:tcPr>
            <w:tcW w:w="0" w:type="auto"/>
            <w:noWrap/>
            <w:hideMark/>
          </w:tcPr>
          <w:p w14:paraId="16044939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3D79BB51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16%</w:t>
            </w:r>
          </w:p>
        </w:tc>
        <w:tc>
          <w:tcPr>
            <w:tcW w:w="0" w:type="auto"/>
          </w:tcPr>
          <w:p w14:paraId="2ADC2743" w14:textId="330DD592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10 945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1C8A1BE2" w14:textId="5499A304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1 222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5D942D54" w14:textId="71DD391E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12 167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0A1C5A" w:rsidRPr="008B09CF" w14:paraId="41BEF296" w14:textId="44B48740" w:rsidTr="005968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B81142" w14:textId="29506936" w:rsidR="005968AE" w:rsidRPr="008B09CF" w:rsidRDefault="005968AE" w:rsidP="00CC18B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5000</w:t>
            </w:r>
            <w:r w:rsidR="000A1C5A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-9999</w:t>
            </w:r>
          </w:p>
        </w:tc>
        <w:tc>
          <w:tcPr>
            <w:tcW w:w="0" w:type="auto"/>
            <w:noWrap/>
            <w:hideMark/>
          </w:tcPr>
          <w:p w14:paraId="637ADE3A" w14:textId="0B3B143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</w:t>
            </w:r>
            <w:r w:rsidR="005170F8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016</w:t>
            </w:r>
          </w:p>
        </w:tc>
        <w:tc>
          <w:tcPr>
            <w:tcW w:w="0" w:type="auto"/>
            <w:noWrap/>
            <w:hideMark/>
          </w:tcPr>
          <w:p w14:paraId="7BAC5253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15%</w:t>
            </w:r>
          </w:p>
        </w:tc>
        <w:tc>
          <w:tcPr>
            <w:tcW w:w="0" w:type="auto"/>
            <w:noWrap/>
            <w:hideMark/>
          </w:tcPr>
          <w:p w14:paraId="1CDF32A4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9A6740D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4%</w:t>
            </w:r>
          </w:p>
        </w:tc>
        <w:tc>
          <w:tcPr>
            <w:tcW w:w="0" w:type="auto"/>
          </w:tcPr>
          <w:p w14:paraId="1BA0E5E9" w14:textId="63D9DE5E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11 053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6A4204CB" w14:textId="555691FA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1 143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2D20A75E" w14:textId="374BFD32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12 196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0A1C5A" w:rsidRPr="008B09CF" w14:paraId="70EDCA7A" w14:textId="381BBEE7" w:rsidTr="005968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D327E" w14:textId="7A431D5A" w:rsidR="005968AE" w:rsidRPr="008B09CF" w:rsidRDefault="000A1C5A" w:rsidP="00CC18B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Nad </w:t>
            </w:r>
            <w:r w:rsidR="005968AE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10000</w:t>
            </w:r>
          </w:p>
        </w:tc>
        <w:tc>
          <w:tcPr>
            <w:tcW w:w="0" w:type="auto"/>
            <w:noWrap/>
            <w:hideMark/>
          </w:tcPr>
          <w:p w14:paraId="5936E8FC" w14:textId="641E5B34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6</w:t>
            </w:r>
            <w:r w:rsidR="005170F8"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274</w:t>
            </w:r>
          </w:p>
        </w:tc>
        <w:tc>
          <w:tcPr>
            <w:tcW w:w="0" w:type="auto"/>
            <w:noWrap/>
            <w:hideMark/>
          </w:tcPr>
          <w:p w14:paraId="2A94E3E4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23%</w:t>
            </w:r>
          </w:p>
        </w:tc>
        <w:tc>
          <w:tcPr>
            <w:tcW w:w="0" w:type="auto"/>
            <w:noWrap/>
            <w:hideMark/>
          </w:tcPr>
          <w:p w14:paraId="2CF75B3A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287378CB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3%</w:t>
            </w:r>
          </w:p>
        </w:tc>
        <w:tc>
          <w:tcPr>
            <w:tcW w:w="0" w:type="auto"/>
          </w:tcPr>
          <w:p w14:paraId="63B7D89A" w14:textId="0E5A822C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12 497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11D34844" w14:textId="63EDCA4B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1 436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14DCBF2C" w14:textId="2D9DB3C8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13 932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  <w:tr w:rsidR="000A1C5A" w:rsidRPr="008B09CF" w14:paraId="0E474C15" w14:textId="4E5798BB" w:rsidTr="005968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7D9624" w14:textId="5B331084" w:rsidR="005968AE" w:rsidRPr="008B09CF" w:rsidRDefault="005968AE" w:rsidP="00CC18B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0" w:type="auto"/>
            <w:noWrap/>
            <w:hideMark/>
          </w:tcPr>
          <w:p w14:paraId="05F5CB9B" w14:textId="0F1C09F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>27</w:t>
            </w:r>
            <w:r w:rsidR="005170F8" w:rsidRPr="008B09CF"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>648</w:t>
            </w:r>
          </w:p>
        </w:tc>
        <w:tc>
          <w:tcPr>
            <w:tcW w:w="0" w:type="auto"/>
            <w:noWrap/>
            <w:hideMark/>
          </w:tcPr>
          <w:p w14:paraId="4190BBC5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noWrap/>
            <w:hideMark/>
          </w:tcPr>
          <w:p w14:paraId="688052D3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>345</w:t>
            </w:r>
          </w:p>
        </w:tc>
        <w:tc>
          <w:tcPr>
            <w:tcW w:w="0" w:type="auto"/>
            <w:noWrap/>
            <w:hideMark/>
          </w:tcPr>
          <w:p w14:paraId="1DF655D3" w14:textId="77777777" w:rsidR="005968AE" w:rsidRPr="008B09CF" w:rsidRDefault="005968AE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</w:tcPr>
          <w:p w14:paraId="7DA07A5F" w14:textId="45A79242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>10 955</w:t>
            </w: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09AFFBC1" w14:textId="2AACCE02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>2 854</w:t>
            </w: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14:paraId="2D074EF7" w14:textId="5C475ABD" w:rsidR="005968AE" w:rsidRPr="008B09CF" w:rsidRDefault="00C96F3D" w:rsidP="00CC18B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  <w:r w:rsidR="005968AE"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>13 809</w:t>
            </w:r>
            <w:r w:rsidRPr="008B09CF">
              <w:rPr>
                <w:rFonts w:cs="Times New Roman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7C94B348" w14:textId="75302107" w:rsidR="0082221D" w:rsidRPr="008B09CF" w:rsidRDefault="0082221D" w:rsidP="005968AE">
      <w:pPr>
        <w:rPr>
          <w:sz w:val="20"/>
          <w:lang w:val="cs-CZ"/>
        </w:rPr>
      </w:pPr>
      <w:r w:rsidRPr="008B09CF">
        <w:rPr>
          <w:sz w:val="20"/>
          <w:lang w:val="cs-CZ"/>
        </w:rPr>
        <w:t xml:space="preserve">Pramen: Normativní schválený rozpočet pro rok 2017 (obecní školy a škol. </w:t>
      </w:r>
      <w:proofErr w:type="gramStart"/>
      <w:r w:rsidRPr="008B09CF">
        <w:rPr>
          <w:sz w:val="20"/>
          <w:lang w:val="cs-CZ"/>
        </w:rPr>
        <w:t>zařízení</w:t>
      </w:r>
      <w:proofErr w:type="gramEnd"/>
      <w:r w:rsidRPr="008B09CF">
        <w:rPr>
          <w:sz w:val="20"/>
          <w:lang w:val="cs-CZ"/>
        </w:rPr>
        <w:t>), ARES, Monitor</w:t>
      </w:r>
      <w:r w:rsidR="00BF5F77" w:rsidRPr="008B09CF">
        <w:rPr>
          <w:sz w:val="20"/>
          <w:lang w:val="cs-CZ"/>
        </w:rPr>
        <w:t>, ČSÚ</w:t>
      </w:r>
      <w:r w:rsidR="00BF5F77" w:rsidRPr="008B09CF">
        <w:rPr>
          <w:rStyle w:val="Znakapoznpodarou"/>
          <w:sz w:val="20"/>
          <w:lang w:val="cs-CZ"/>
        </w:rPr>
        <w:footnoteReference w:id="4"/>
      </w:r>
    </w:p>
    <w:p w14:paraId="09EBFD7D" w14:textId="319E15F0" w:rsidR="005968AE" w:rsidRPr="008B09CF" w:rsidRDefault="005968AE" w:rsidP="008B09CF">
      <w:pPr>
        <w:jc w:val="both"/>
        <w:rPr>
          <w:lang w:val="cs-CZ"/>
        </w:rPr>
      </w:pPr>
      <w:r w:rsidRPr="008B09CF">
        <w:rPr>
          <w:lang w:val="cs-CZ"/>
        </w:rPr>
        <w:t>Rozdíly ve výši průměrného neinvestičního transferu mezi jednotlivými skupinami obcí nejsou velké (</w:t>
      </w:r>
      <w:r w:rsidRPr="008B09CF">
        <w:rPr>
          <w:lang w:val="cs-CZ"/>
        </w:rPr>
        <w:fldChar w:fldCharType="begin"/>
      </w:r>
      <w:r w:rsidRPr="008B09CF">
        <w:rPr>
          <w:lang w:val="cs-CZ"/>
        </w:rPr>
        <w:instrText xml:space="preserve"> REF _Ref497597923 \h </w:instrText>
      </w:r>
      <w:r w:rsidRPr="008B09CF">
        <w:rPr>
          <w:lang w:val="cs-CZ"/>
        </w:rPr>
      </w:r>
      <w:r w:rsidRPr="008B09CF">
        <w:rPr>
          <w:lang w:val="cs-CZ"/>
        </w:rPr>
        <w:fldChar w:fldCharType="separate"/>
      </w:r>
      <w:r w:rsidRPr="008B09CF">
        <w:rPr>
          <w:lang w:val="cs-CZ"/>
        </w:rPr>
        <w:t>Obr. 1</w:t>
      </w:r>
      <w:r w:rsidRPr="008B09CF">
        <w:rPr>
          <w:lang w:val="cs-CZ"/>
        </w:rPr>
        <w:fldChar w:fldCharType="end"/>
      </w:r>
      <w:r w:rsidRPr="008B09CF">
        <w:rPr>
          <w:lang w:val="cs-CZ"/>
        </w:rPr>
        <w:t>), trochu vyšší je transfer ve městech nad 10 tisíc obyvatel (</w:t>
      </w:r>
      <w:r w:rsidRPr="008B09CF">
        <w:rPr>
          <w:lang w:val="cs-CZ"/>
        </w:rPr>
        <w:fldChar w:fldCharType="begin"/>
      </w:r>
      <w:r w:rsidRPr="008B09CF">
        <w:rPr>
          <w:lang w:val="cs-CZ"/>
        </w:rPr>
        <w:instrText xml:space="preserve"> REF _Ref497598010 \h </w:instrText>
      </w:r>
      <w:r w:rsidRPr="008B09CF">
        <w:rPr>
          <w:lang w:val="cs-CZ"/>
        </w:rPr>
      </w:r>
      <w:r w:rsidRPr="008B09CF">
        <w:rPr>
          <w:lang w:val="cs-CZ"/>
        </w:rPr>
        <w:fldChar w:fldCharType="separate"/>
      </w:r>
      <w:r w:rsidRPr="008B09CF">
        <w:rPr>
          <w:lang w:val="cs-CZ"/>
        </w:rPr>
        <w:t>Obr. 2</w:t>
      </w:r>
      <w:r w:rsidRPr="008B09CF">
        <w:rPr>
          <w:lang w:val="cs-CZ"/>
        </w:rPr>
        <w:fldChar w:fldCharType="end"/>
      </w:r>
      <w:r w:rsidRPr="008B09CF">
        <w:rPr>
          <w:lang w:val="cs-CZ"/>
        </w:rPr>
        <w:t>), nicméně tento rozdíl není statisticky významný (viz provedené testy pod grafem).</w:t>
      </w:r>
    </w:p>
    <w:p w14:paraId="6AD76A1C" w14:textId="7ACF394F" w:rsidR="005968AE" w:rsidRPr="008B09CF" w:rsidRDefault="005968AE" w:rsidP="005968AE">
      <w:pPr>
        <w:pStyle w:val="Titulek"/>
        <w:rPr>
          <w:rFonts w:cs="Times New Roman"/>
          <w:szCs w:val="24"/>
          <w:lang w:val="cs-CZ"/>
        </w:rPr>
      </w:pPr>
      <w:bookmarkStart w:id="1" w:name="_Ref497597923"/>
      <w:r w:rsidRPr="008B09CF">
        <w:rPr>
          <w:lang w:val="cs-CZ"/>
        </w:rPr>
        <w:lastRenderedPageBreak/>
        <w:t xml:space="preserve">Obr. </w:t>
      </w:r>
      <w:r w:rsidR="00FC5A90" w:rsidRPr="008B09CF">
        <w:rPr>
          <w:lang w:val="cs-CZ"/>
        </w:rPr>
        <w:fldChar w:fldCharType="begin"/>
      </w:r>
      <w:r w:rsidR="00FC5A90" w:rsidRPr="008B09CF">
        <w:rPr>
          <w:lang w:val="cs-CZ"/>
        </w:rPr>
        <w:instrText xml:space="preserve"> SEQ Obr. \* ARABIC </w:instrText>
      </w:r>
      <w:r w:rsidR="00FC5A90" w:rsidRPr="008B09CF">
        <w:rPr>
          <w:lang w:val="cs-CZ"/>
        </w:rPr>
        <w:fldChar w:fldCharType="separate"/>
      </w:r>
      <w:r w:rsidR="001E5127" w:rsidRPr="008B09CF">
        <w:rPr>
          <w:lang w:val="cs-CZ"/>
        </w:rPr>
        <w:t>1</w:t>
      </w:r>
      <w:r w:rsidR="00FC5A90" w:rsidRPr="008B09CF">
        <w:rPr>
          <w:lang w:val="cs-CZ"/>
        </w:rPr>
        <w:fldChar w:fldCharType="end"/>
      </w:r>
      <w:bookmarkEnd w:id="1"/>
      <w:r w:rsidRPr="008B09CF">
        <w:rPr>
          <w:lang w:val="cs-CZ"/>
        </w:rPr>
        <w:t xml:space="preserve">: Průměrná výše neinvestičního transferu </w:t>
      </w:r>
      <w:r w:rsidRPr="008B09CF">
        <w:rPr>
          <w:rFonts w:cs="Times New Roman"/>
          <w:szCs w:val="24"/>
          <w:lang w:val="cs-CZ"/>
        </w:rPr>
        <w:t xml:space="preserve">v členění podle </w:t>
      </w:r>
      <w:r w:rsidRPr="008B09CF">
        <w:rPr>
          <w:lang w:val="cs-CZ"/>
        </w:rPr>
        <w:t>počtu</w:t>
      </w:r>
      <w:r w:rsidRPr="008B09CF">
        <w:rPr>
          <w:rFonts w:cs="Times New Roman"/>
          <w:szCs w:val="24"/>
          <w:lang w:val="cs-CZ"/>
        </w:rPr>
        <w:t xml:space="preserve"> dětí navštěvujících MŠ v obci (Kč/dítě, 2016)</w:t>
      </w:r>
    </w:p>
    <w:p w14:paraId="6EE7A3B7" w14:textId="3BD937EB" w:rsidR="00CC18BF" w:rsidRPr="008B09CF" w:rsidRDefault="00CC18BF">
      <w:pPr>
        <w:rPr>
          <w:rFonts w:cs="Times New Roman"/>
          <w:szCs w:val="24"/>
          <w:lang w:val="cs-CZ"/>
        </w:rPr>
      </w:pPr>
      <w:r w:rsidRPr="008B09CF">
        <w:rPr>
          <w:rFonts w:cs="Times New Roman"/>
          <w:noProof/>
          <w:szCs w:val="24"/>
          <w:lang w:val="cs-CZ" w:eastAsia="cs-CZ"/>
        </w:rPr>
        <w:drawing>
          <wp:inline distT="0" distB="0" distL="0" distR="0" wp14:anchorId="362A40E0" wp14:editId="18BC5ED9">
            <wp:extent cx="3600000" cy="2700000"/>
            <wp:effectExtent l="0" t="0" r="63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4E9B" w14:textId="77777777" w:rsidR="00031A4A" w:rsidRPr="008B09CF" w:rsidRDefault="00031A4A" w:rsidP="00031A4A">
      <w:pPr>
        <w:rPr>
          <w:sz w:val="20"/>
          <w:lang w:val="cs-CZ"/>
        </w:rPr>
      </w:pPr>
      <w:r w:rsidRPr="008B09CF">
        <w:rPr>
          <w:sz w:val="20"/>
          <w:lang w:val="cs-CZ"/>
        </w:rPr>
        <w:t xml:space="preserve">Pramen: Normativní schválený rozpočet pro rok 2017 (obecní školy a škol. </w:t>
      </w:r>
      <w:proofErr w:type="gramStart"/>
      <w:r w:rsidRPr="008B09CF">
        <w:rPr>
          <w:sz w:val="20"/>
          <w:lang w:val="cs-CZ"/>
        </w:rPr>
        <w:t>zařízení</w:t>
      </w:r>
      <w:proofErr w:type="gramEnd"/>
      <w:r w:rsidRPr="008B09CF">
        <w:rPr>
          <w:sz w:val="20"/>
          <w:lang w:val="cs-CZ"/>
        </w:rPr>
        <w:t>), ARES, Monitor</w:t>
      </w:r>
    </w:p>
    <w:p w14:paraId="41E44C12" w14:textId="341740B8" w:rsidR="00031A4A" w:rsidRPr="008B09CF" w:rsidRDefault="005968AE" w:rsidP="00031A4A">
      <w:pPr>
        <w:pStyle w:val="Titulek"/>
        <w:rPr>
          <w:rFonts w:cs="Times New Roman"/>
          <w:szCs w:val="24"/>
          <w:lang w:val="cs-CZ"/>
        </w:rPr>
      </w:pPr>
      <w:bookmarkStart w:id="2" w:name="_Ref497598010"/>
      <w:r w:rsidRPr="008B09CF">
        <w:rPr>
          <w:lang w:val="cs-CZ"/>
        </w:rPr>
        <w:t xml:space="preserve">Obr. </w:t>
      </w:r>
      <w:r w:rsidR="00FC5A90" w:rsidRPr="008B09CF">
        <w:rPr>
          <w:lang w:val="cs-CZ"/>
        </w:rPr>
        <w:fldChar w:fldCharType="begin"/>
      </w:r>
      <w:r w:rsidR="00FC5A90" w:rsidRPr="008B09CF">
        <w:rPr>
          <w:lang w:val="cs-CZ"/>
        </w:rPr>
        <w:instrText xml:space="preserve"> SEQ Obr. \* ARABIC </w:instrText>
      </w:r>
      <w:r w:rsidR="00FC5A90" w:rsidRPr="008B09CF">
        <w:rPr>
          <w:lang w:val="cs-CZ"/>
        </w:rPr>
        <w:fldChar w:fldCharType="separate"/>
      </w:r>
      <w:r w:rsidR="001E5127" w:rsidRPr="008B09CF">
        <w:rPr>
          <w:lang w:val="cs-CZ"/>
        </w:rPr>
        <w:t>2</w:t>
      </w:r>
      <w:r w:rsidR="00FC5A90" w:rsidRPr="008B09CF">
        <w:rPr>
          <w:lang w:val="cs-CZ"/>
        </w:rPr>
        <w:fldChar w:fldCharType="end"/>
      </w:r>
      <w:bookmarkEnd w:id="2"/>
      <w:r w:rsidR="00031A4A" w:rsidRPr="008B09CF">
        <w:rPr>
          <w:lang w:val="cs-CZ"/>
        </w:rPr>
        <w:t xml:space="preserve"> Průměrná výše neinvestičního transferu </w:t>
      </w:r>
      <w:r w:rsidR="00031A4A" w:rsidRPr="008B09CF">
        <w:rPr>
          <w:rFonts w:cs="Times New Roman"/>
          <w:szCs w:val="24"/>
          <w:lang w:val="cs-CZ"/>
        </w:rPr>
        <w:t>v členění podle</w:t>
      </w:r>
      <w:r w:rsidR="00031A4A" w:rsidRPr="008B09CF">
        <w:rPr>
          <w:lang w:val="cs-CZ"/>
        </w:rPr>
        <w:t xml:space="preserve"> </w:t>
      </w:r>
      <w:proofErr w:type="spellStart"/>
      <w:r w:rsidR="00031A4A" w:rsidRPr="008B09CF">
        <w:rPr>
          <w:lang w:val="cs-CZ"/>
        </w:rPr>
        <w:t>podle</w:t>
      </w:r>
      <w:proofErr w:type="spellEnd"/>
      <w:r w:rsidR="00031A4A" w:rsidRPr="008B09CF">
        <w:rPr>
          <w:lang w:val="cs-CZ"/>
        </w:rPr>
        <w:t xml:space="preserve"> velikosti obce </w:t>
      </w:r>
      <w:r w:rsidR="00031A4A" w:rsidRPr="008B09CF">
        <w:rPr>
          <w:rFonts w:cs="Times New Roman"/>
          <w:szCs w:val="24"/>
          <w:lang w:val="cs-CZ"/>
        </w:rPr>
        <w:t>(Kč/dítě, 2016)</w:t>
      </w:r>
    </w:p>
    <w:p w14:paraId="76B94A2E" w14:textId="2F8EAA54" w:rsidR="00CC18BF" w:rsidRPr="008B09CF" w:rsidRDefault="00CC18BF">
      <w:pPr>
        <w:rPr>
          <w:rFonts w:cs="Times New Roman"/>
          <w:szCs w:val="24"/>
          <w:lang w:val="cs-CZ"/>
        </w:rPr>
      </w:pPr>
      <w:r w:rsidRPr="008B09CF">
        <w:rPr>
          <w:rFonts w:cs="Times New Roman"/>
          <w:noProof/>
          <w:szCs w:val="24"/>
          <w:lang w:val="cs-CZ" w:eastAsia="cs-CZ"/>
        </w:rPr>
        <w:drawing>
          <wp:inline distT="0" distB="0" distL="0" distR="0" wp14:anchorId="13C3D802" wp14:editId="0E65B9D5">
            <wp:extent cx="3600000" cy="2699206"/>
            <wp:effectExtent l="0" t="0" r="63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6BA0" w14:textId="0A04A520" w:rsidR="00BF5F77" w:rsidRPr="008B09CF" w:rsidRDefault="00BF5F77" w:rsidP="00BF5F77">
      <w:pPr>
        <w:rPr>
          <w:sz w:val="22"/>
          <w:lang w:val="cs-CZ"/>
        </w:rPr>
      </w:pPr>
      <w:r w:rsidRPr="008B09CF">
        <w:rPr>
          <w:sz w:val="22"/>
          <w:lang w:val="cs-CZ"/>
        </w:rPr>
        <w:t xml:space="preserve">Pramen: Normativní schválený rozpočet pro rok 2017 (obecní školy a škol. </w:t>
      </w:r>
      <w:proofErr w:type="gramStart"/>
      <w:r w:rsidRPr="008B09CF">
        <w:rPr>
          <w:sz w:val="22"/>
          <w:lang w:val="cs-CZ"/>
        </w:rPr>
        <w:t>zařízení</w:t>
      </w:r>
      <w:proofErr w:type="gramEnd"/>
      <w:r w:rsidRPr="008B09CF">
        <w:rPr>
          <w:sz w:val="22"/>
          <w:lang w:val="cs-CZ"/>
        </w:rPr>
        <w:t>), ARES, Monitor, ČSÚ</w:t>
      </w:r>
    </w:p>
    <w:p w14:paraId="4B0EE5F2" w14:textId="6E40F830" w:rsidR="00031A4A" w:rsidRPr="008B09CF" w:rsidRDefault="00031A4A" w:rsidP="00BF5F77">
      <w:pPr>
        <w:jc w:val="both"/>
        <w:rPr>
          <w:rFonts w:cs="Times New Roman"/>
          <w:szCs w:val="24"/>
          <w:lang w:val="cs-CZ"/>
        </w:rPr>
      </w:pPr>
      <w:r w:rsidRPr="008B09CF">
        <w:rPr>
          <w:rFonts w:cs="Times New Roman"/>
          <w:szCs w:val="24"/>
          <w:lang w:val="cs-CZ"/>
        </w:rPr>
        <w:t>Rozdíly ve výši ostatních běžných výdajů jsou statisticky významné a jasně ukazují působení úspor v rozsahu bez ohledu na způsob kategorizace obcí (</w:t>
      </w:r>
      <w:r w:rsidRPr="008B09CF">
        <w:rPr>
          <w:rFonts w:cs="Times New Roman"/>
          <w:szCs w:val="24"/>
          <w:lang w:val="cs-CZ"/>
        </w:rPr>
        <w:fldChar w:fldCharType="begin"/>
      </w:r>
      <w:r w:rsidRPr="008B09CF">
        <w:rPr>
          <w:rFonts w:cs="Times New Roman"/>
          <w:szCs w:val="24"/>
          <w:lang w:val="cs-CZ"/>
        </w:rPr>
        <w:instrText xml:space="preserve"> REF _Ref497598242 \h </w:instrText>
      </w:r>
      <w:r w:rsidRPr="008B09CF">
        <w:rPr>
          <w:rFonts w:cs="Times New Roman"/>
          <w:szCs w:val="24"/>
          <w:lang w:val="cs-CZ"/>
        </w:rPr>
      </w:r>
      <w:r w:rsidRPr="008B09CF">
        <w:rPr>
          <w:rFonts w:cs="Times New Roman"/>
          <w:szCs w:val="24"/>
          <w:lang w:val="cs-CZ"/>
        </w:rPr>
        <w:fldChar w:fldCharType="separate"/>
      </w:r>
      <w:r w:rsidRPr="008B09CF">
        <w:rPr>
          <w:lang w:val="cs-CZ"/>
        </w:rPr>
        <w:t>Obr. 3</w:t>
      </w:r>
      <w:r w:rsidRPr="008B09CF">
        <w:rPr>
          <w:rFonts w:cs="Times New Roman"/>
          <w:szCs w:val="24"/>
          <w:lang w:val="cs-CZ"/>
        </w:rPr>
        <w:fldChar w:fldCharType="end"/>
      </w:r>
      <w:r w:rsidRPr="008B09CF">
        <w:rPr>
          <w:rFonts w:cs="Times New Roman"/>
          <w:szCs w:val="24"/>
          <w:lang w:val="cs-CZ"/>
        </w:rPr>
        <w:t xml:space="preserve"> a </w:t>
      </w:r>
      <w:r w:rsidRPr="008B09CF">
        <w:rPr>
          <w:rFonts w:cs="Times New Roman"/>
          <w:szCs w:val="24"/>
          <w:lang w:val="cs-CZ"/>
        </w:rPr>
        <w:fldChar w:fldCharType="begin"/>
      </w:r>
      <w:r w:rsidRPr="008B09CF">
        <w:rPr>
          <w:rFonts w:cs="Times New Roman"/>
          <w:szCs w:val="24"/>
          <w:lang w:val="cs-CZ"/>
        </w:rPr>
        <w:instrText xml:space="preserve"> REF _Ref497598246 \h </w:instrText>
      </w:r>
      <w:r w:rsidRPr="008B09CF">
        <w:rPr>
          <w:rFonts w:cs="Times New Roman"/>
          <w:szCs w:val="24"/>
          <w:lang w:val="cs-CZ"/>
        </w:rPr>
      </w:r>
      <w:r w:rsidRPr="008B09CF">
        <w:rPr>
          <w:rFonts w:cs="Times New Roman"/>
          <w:szCs w:val="24"/>
          <w:lang w:val="cs-CZ"/>
        </w:rPr>
        <w:fldChar w:fldCharType="separate"/>
      </w:r>
      <w:r w:rsidRPr="008B09CF">
        <w:rPr>
          <w:lang w:val="cs-CZ"/>
        </w:rPr>
        <w:t>Obr. 4</w:t>
      </w:r>
      <w:r w:rsidRPr="008B09CF">
        <w:rPr>
          <w:rFonts w:cs="Times New Roman"/>
          <w:szCs w:val="24"/>
          <w:lang w:val="cs-CZ"/>
        </w:rPr>
        <w:fldChar w:fldCharType="end"/>
      </w:r>
      <w:r w:rsidRPr="008B09CF">
        <w:rPr>
          <w:rFonts w:cs="Times New Roman"/>
          <w:szCs w:val="24"/>
          <w:lang w:val="cs-CZ"/>
        </w:rPr>
        <w:t xml:space="preserve">). </w:t>
      </w:r>
    </w:p>
    <w:p w14:paraId="233E3F32" w14:textId="3B52956A" w:rsidR="00CC18BF" w:rsidRPr="008B09CF" w:rsidRDefault="00031A4A" w:rsidP="00031A4A">
      <w:pPr>
        <w:pStyle w:val="Titulek"/>
        <w:rPr>
          <w:rFonts w:cs="Times New Roman"/>
          <w:szCs w:val="24"/>
          <w:lang w:val="cs-CZ"/>
        </w:rPr>
      </w:pPr>
      <w:bookmarkStart w:id="3" w:name="_Ref497598242"/>
      <w:r w:rsidRPr="008B09CF">
        <w:rPr>
          <w:lang w:val="cs-CZ"/>
        </w:rPr>
        <w:lastRenderedPageBreak/>
        <w:t xml:space="preserve">Obr. </w:t>
      </w:r>
      <w:r w:rsidR="00FC5A90" w:rsidRPr="008B09CF">
        <w:rPr>
          <w:lang w:val="cs-CZ"/>
        </w:rPr>
        <w:fldChar w:fldCharType="begin"/>
      </w:r>
      <w:r w:rsidR="00FC5A90" w:rsidRPr="008B09CF">
        <w:rPr>
          <w:lang w:val="cs-CZ"/>
        </w:rPr>
        <w:instrText xml:space="preserve"> SEQ Obr. \* ARABIC </w:instrText>
      </w:r>
      <w:r w:rsidR="00FC5A90" w:rsidRPr="008B09CF">
        <w:rPr>
          <w:lang w:val="cs-CZ"/>
        </w:rPr>
        <w:fldChar w:fldCharType="separate"/>
      </w:r>
      <w:r w:rsidR="001E5127" w:rsidRPr="008B09CF">
        <w:rPr>
          <w:lang w:val="cs-CZ"/>
        </w:rPr>
        <w:t>3</w:t>
      </w:r>
      <w:r w:rsidR="00FC5A90" w:rsidRPr="008B09CF">
        <w:rPr>
          <w:lang w:val="cs-CZ"/>
        </w:rPr>
        <w:fldChar w:fldCharType="end"/>
      </w:r>
      <w:bookmarkEnd w:id="3"/>
      <w:r w:rsidRPr="008B09CF">
        <w:rPr>
          <w:lang w:val="cs-CZ"/>
        </w:rPr>
        <w:t xml:space="preserve"> Průměrná výše ostatních běžných výdajů </w:t>
      </w:r>
      <w:r w:rsidRPr="008B09CF">
        <w:rPr>
          <w:rFonts w:cs="Times New Roman"/>
          <w:szCs w:val="24"/>
          <w:lang w:val="cs-CZ"/>
        </w:rPr>
        <w:t xml:space="preserve">v členění podle </w:t>
      </w:r>
      <w:r w:rsidRPr="008B09CF">
        <w:rPr>
          <w:lang w:val="cs-CZ"/>
        </w:rPr>
        <w:t>počtu</w:t>
      </w:r>
      <w:r w:rsidRPr="008B09CF">
        <w:rPr>
          <w:rFonts w:cs="Times New Roman"/>
          <w:szCs w:val="24"/>
          <w:lang w:val="cs-CZ"/>
        </w:rPr>
        <w:t xml:space="preserve"> dětí navštěvujících MŠ v obci (Kč/dítě, 2016)</w:t>
      </w:r>
    </w:p>
    <w:p w14:paraId="2A4B6B41" w14:textId="2AFAFDD4" w:rsidR="00CC18BF" w:rsidRPr="008B09CF" w:rsidRDefault="00CC18BF">
      <w:pPr>
        <w:rPr>
          <w:rFonts w:cs="Times New Roman"/>
          <w:szCs w:val="24"/>
          <w:lang w:val="cs-CZ"/>
        </w:rPr>
      </w:pPr>
      <w:r w:rsidRPr="008B09CF">
        <w:rPr>
          <w:rFonts w:cs="Times New Roman"/>
          <w:noProof/>
          <w:szCs w:val="24"/>
          <w:lang w:val="cs-CZ" w:eastAsia="cs-CZ"/>
        </w:rPr>
        <w:drawing>
          <wp:inline distT="0" distB="0" distL="0" distR="0" wp14:anchorId="41015975" wp14:editId="6FC2B389">
            <wp:extent cx="3600000" cy="2699206"/>
            <wp:effectExtent l="0" t="0" r="63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150AA" w14:textId="110B3305" w:rsidR="00BF5F77" w:rsidRPr="008B09CF" w:rsidRDefault="00BF5F77" w:rsidP="00BF5F77">
      <w:pPr>
        <w:rPr>
          <w:sz w:val="20"/>
          <w:lang w:val="cs-CZ"/>
        </w:rPr>
      </w:pPr>
      <w:r w:rsidRPr="008B09CF">
        <w:rPr>
          <w:sz w:val="20"/>
          <w:lang w:val="cs-CZ"/>
        </w:rPr>
        <w:t xml:space="preserve">Pramen: Normativní schválený rozpočet pro rok 2017 (obecní školy a škol. </w:t>
      </w:r>
      <w:proofErr w:type="gramStart"/>
      <w:r w:rsidRPr="008B09CF">
        <w:rPr>
          <w:sz w:val="20"/>
          <w:lang w:val="cs-CZ"/>
        </w:rPr>
        <w:t>zařízení</w:t>
      </w:r>
      <w:proofErr w:type="gramEnd"/>
      <w:r w:rsidRPr="008B09CF">
        <w:rPr>
          <w:sz w:val="20"/>
          <w:lang w:val="cs-CZ"/>
        </w:rPr>
        <w:t>), ARES, Monitor</w:t>
      </w:r>
    </w:p>
    <w:p w14:paraId="13151E64" w14:textId="53746930" w:rsidR="00CC18BF" w:rsidRPr="008B09CF" w:rsidRDefault="00031A4A" w:rsidP="00031A4A">
      <w:pPr>
        <w:pStyle w:val="Titulek"/>
        <w:rPr>
          <w:rFonts w:cs="Times New Roman"/>
          <w:szCs w:val="24"/>
          <w:lang w:val="cs-CZ"/>
        </w:rPr>
      </w:pPr>
      <w:bookmarkStart w:id="4" w:name="_Ref497598246"/>
      <w:r w:rsidRPr="008B09CF">
        <w:rPr>
          <w:lang w:val="cs-CZ"/>
        </w:rPr>
        <w:t xml:space="preserve">Obr. </w:t>
      </w:r>
      <w:r w:rsidR="00FC5A90" w:rsidRPr="008B09CF">
        <w:rPr>
          <w:lang w:val="cs-CZ"/>
        </w:rPr>
        <w:fldChar w:fldCharType="begin"/>
      </w:r>
      <w:r w:rsidR="00FC5A90" w:rsidRPr="008B09CF">
        <w:rPr>
          <w:lang w:val="cs-CZ"/>
        </w:rPr>
        <w:instrText xml:space="preserve"> SEQ Obr. \* ARABIC </w:instrText>
      </w:r>
      <w:r w:rsidR="00FC5A90" w:rsidRPr="008B09CF">
        <w:rPr>
          <w:lang w:val="cs-CZ"/>
        </w:rPr>
        <w:fldChar w:fldCharType="separate"/>
      </w:r>
      <w:r w:rsidR="001E5127" w:rsidRPr="008B09CF">
        <w:rPr>
          <w:lang w:val="cs-CZ"/>
        </w:rPr>
        <w:t>4</w:t>
      </w:r>
      <w:r w:rsidR="00FC5A90" w:rsidRPr="008B09CF">
        <w:rPr>
          <w:lang w:val="cs-CZ"/>
        </w:rPr>
        <w:fldChar w:fldCharType="end"/>
      </w:r>
      <w:bookmarkEnd w:id="4"/>
      <w:r w:rsidRPr="008B09CF">
        <w:rPr>
          <w:lang w:val="cs-CZ"/>
        </w:rPr>
        <w:t xml:space="preserve"> Průměrná výše ostatních běžných výdajů </w:t>
      </w:r>
      <w:r w:rsidRPr="008B09CF">
        <w:rPr>
          <w:rFonts w:cs="Times New Roman"/>
          <w:szCs w:val="24"/>
          <w:lang w:val="cs-CZ"/>
        </w:rPr>
        <w:t>v členění podle</w:t>
      </w:r>
      <w:r w:rsidRPr="008B09CF">
        <w:rPr>
          <w:lang w:val="cs-CZ"/>
        </w:rPr>
        <w:t xml:space="preserve"> </w:t>
      </w:r>
      <w:bookmarkStart w:id="5" w:name="_GoBack"/>
      <w:bookmarkEnd w:id="5"/>
      <w:r w:rsidRPr="008B09CF">
        <w:rPr>
          <w:lang w:val="cs-CZ"/>
        </w:rPr>
        <w:t xml:space="preserve">velikosti obce </w:t>
      </w:r>
      <w:r w:rsidRPr="008B09CF">
        <w:rPr>
          <w:rFonts w:cs="Times New Roman"/>
          <w:szCs w:val="24"/>
          <w:lang w:val="cs-CZ"/>
        </w:rPr>
        <w:t>(Kč/dítě, 2016)</w:t>
      </w:r>
    </w:p>
    <w:p w14:paraId="3BEC8695" w14:textId="4D7E29DF" w:rsidR="00CC18BF" w:rsidRPr="008B09CF" w:rsidRDefault="00CC18BF">
      <w:pPr>
        <w:rPr>
          <w:rFonts w:cs="Times New Roman"/>
          <w:szCs w:val="24"/>
          <w:lang w:val="cs-CZ"/>
        </w:rPr>
      </w:pPr>
      <w:r w:rsidRPr="008B09CF">
        <w:rPr>
          <w:rFonts w:cs="Times New Roman"/>
          <w:noProof/>
          <w:szCs w:val="24"/>
          <w:lang w:val="cs-CZ" w:eastAsia="cs-CZ"/>
        </w:rPr>
        <w:drawing>
          <wp:inline distT="0" distB="0" distL="0" distR="0" wp14:anchorId="21F13B92" wp14:editId="4B351089">
            <wp:extent cx="3600000" cy="2699206"/>
            <wp:effectExtent l="0" t="0" r="63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C528" w14:textId="2B3B05DA" w:rsidR="00BF5F77" w:rsidRPr="008B09CF" w:rsidRDefault="00BF5F77" w:rsidP="00BF5F77">
      <w:pPr>
        <w:rPr>
          <w:sz w:val="20"/>
          <w:lang w:val="cs-CZ"/>
        </w:rPr>
      </w:pPr>
      <w:r w:rsidRPr="008B09CF">
        <w:rPr>
          <w:sz w:val="20"/>
          <w:lang w:val="cs-CZ"/>
        </w:rPr>
        <w:t xml:space="preserve">Pramen: Normativní schválený rozpočet pro rok 2017 (obecní školy a škol. </w:t>
      </w:r>
      <w:proofErr w:type="gramStart"/>
      <w:r w:rsidRPr="008B09CF">
        <w:rPr>
          <w:sz w:val="20"/>
          <w:lang w:val="cs-CZ"/>
        </w:rPr>
        <w:t>zařízení</w:t>
      </w:r>
      <w:proofErr w:type="gramEnd"/>
      <w:r w:rsidRPr="008B09CF">
        <w:rPr>
          <w:sz w:val="20"/>
          <w:lang w:val="cs-CZ"/>
        </w:rPr>
        <w:t>), ARES, Monitor, ČSÚ</w:t>
      </w:r>
    </w:p>
    <w:p w14:paraId="718DE3B5" w14:textId="5138092F" w:rsidR="00031A4A" w:rsidRPr="008B09CF" w:rsidRDefault="005170F8" w:rsidP="005170F8">
      <w:pPr>
        <w:jc w:val="both"/>
        <w:rPr>
          <w:rFonts w:cs="Times New Roman"/>
          <w:szCs w:val="24"/>
          <w:lang w:val="cs-CZ"/>
        </w:rPr>
      </w:pPr>
      <w:r w:rsidRPr="008B09CF">
        <w:rPr>
          <w:rFonts w:cs="Times New Roman"/>
          <w:szCs w:val="24"/>
          <w:lang w:val="cs-CZ"/>
        </w:rPr>
        <w:t>Provedená</w:t>
      </w:r>
      <w:r w:rsidR="00031A4A" w:rsidRPr="008B09CF">
        <w:rPr>
          <w:rFonts w:cs="Times New Roman"/>
          <w:szCs w:val="24"/>
          <w:lang w:val="cs-CZ"/>
        </w:rPr>
        <w:t xml:space="preserve"> analýza má bohužel dvě hlavní omezení</w:t>
      </w:r>
      <w:r w:rsidRPr="008B09CF">
        <w:rPr>
          <w:rFonts w:cs="Times New Roman"/>
          <w:szCs w:val="24"/>
          <w:lang w:val="cs-CZ"/>
        </w:rPr>
        <w:t>:</w:t>
      </w:r>
      <w:r w:rsidR="00031A4A" w:rsidRPr="008B09CF">
        <w:rPr>
          <w:rFonts w:cs="Times New Roman"/>
          <w:szCs w:val="24"/>
          <w:lang w:val="cs-CZ"/>
        </w:rPr>
        <w:t xml:space="preserve"> Prvním je účetní kritérium členění běžných a investičních výdajů, které vždy nereflektuje skutečný charakter daného výdaje. Např. výměna oken je běžný výdaj, byť se samozřejmě nejedná o běžnou údržbu. Druhým </w:t>
      </w:r>
      <w:r w:rsidR="00031A4A" w:rsidRPr="008B09CF">
        <w:rPr>
          <w:rFonts w:cs="Times New Roman"/>
          <w:szCs w:val="24"/>
          <w:lang w:val="cs-CZ"/>
        </w:rPr>
        <w:lastRenderedPageBreak/>
        <w:t>omezením je skutečnost, že neznáme zdroj financování těchto výdajů, resp. z dostupných údajů není možné zjistit, jaká část výdajů obcí byla financována z účelových dotací.</w:t>
      </w:r>
    </w:p>
    <w:p w14:paraId="02F74CCD" w14:textId="72D9CC1A" w:rsidR="004F580D" w:rsidRPr="008B09CF" w:rsidRDefault="00031A4A" w:rsidP="008B09CF">
      <w:pPr>
        <w:jc w:val="both"/>
        <w:rPr>
          <w:lang w:val="cs-CZ"/>
        </w:rPr>
      </w:pPr>
      <w:r w:rsidRPr="008B09CF">
        <w:rPr>
          <w:lang w:val="cs-CZ"/>
        </w:rPr>
        <w:t>V roce 2016 získaly obce</w:t>
      </w:r>
      <w:r w:rsidR="006E6021" w:rsidRPr="008B09CF">
        <w:rPr>
          <w:lang w:val="cs-CZ"/>
        </w:rPr>
        <w:t xml:space="preserve"> prostřednictvím rozpočtového určení daní</w:t>
      </w:r>
      <w:r w:rsidRPr="008B09CF">
        <w:rPr>
          <w:lang w:val="cs-CZ"/>
        </w:rPr>
        <w:t xml:space="preserve"> na jedno dítě v MŠ </w:t>
      </w:r>
      <w:r w:rsidR="004F580D" w:rsidRPr="008B09CF">
        <w:rPr>
          <w:lang w:val="cs-CZ"/>
        </w:rPr>
        <w:t>8 806</w:t>
      </w:r>
      <w:r w:rsidR="005170F8" w:rsidRPr="008B09CF">
        <w:rPr>
          <w:lang w:val="cs-CZ"/>
        </w:rPr>
        <w:t xml:space="preserve"> Kč</w:t>
      </w:r>
      <w:r w:rsidR="004F580D" w:rsidRPr="008B09CF">
        <w:rPr>
          <w:lang w:val="cs-CZ"/>
        </w:rPr>
        <w:t xml:space="preserve">. Pokud pro srovnání použijeme průměrné běžné výdaje 13 809 </w:t>
      </w:r>
      <w:r w:rsidR="005170F8" w:rsidRPr="008B09CF">
        <w:rPr>
          <w:lang w:val="cs-CZ"/>
        </w:rPr>
        <w:t>Kč</w:t>
      </w:r>
      <w:r w:rsidR="004F580D" w:rsidRPr="008B09CF">
        <w:rPr>
          <w:lang w:val="cs-CZ"/>
        </w:rPr>
        <w:t>, přispívá obec</w:t>
      </w:r>
      <w:r w:rsidR="00EB32E1" w:rsidRPr="008B09CF">
        <w:rPr>
          <w:lang w:val="cs-CZ"/>
        </w:rPr>
        <w:t xml:space="preserve"> z vlastních zdrojů</w:t>
      </w:r>
      <w:r w:rsidR="004F580D" w:rsidRPr="008B09CF">
        <w:rPr>
          <w:lang w:val="cs-CZ"/>
        </w:rPr>
        <w:t xml:space="preserve"> v </w:t>
      </w:r>
      <w:proofErr w:type="spellStart"/>
      <w:r w:rsidR="004F580D" w:rsidRPr="008B09CF">
        <w:rPr>
          <w:lang w:val="cs-CZ"/>
        </w:rPr>
        <w:t>půrměru</w:t>
      </w:r>
      <w:proofErr w:type="spellEnd"/>
      <w:r w:rsidR="004F580D" w:rsidRPr="008B09CF">
        <w:rPr>
          <w:lang w:val="cs-CZ"/>
        </w:rPr>
        <w:t xml:space="preserve"> na dítě 5000 Kč ročně. </w:t>
      </w:r>
      <w:r w:rsidR="00EB32E1" w:rsidRPr="008B09CF">
        <w:rPr>
          <w:lang w:val="cs-CZ"/>
        </w:rPr>
        <w:t>Připomínám, že část těchto výdajů může být kryta dotací.</w:t>
      </w:r>
    </w:p>
    <w:p w14:paraId="2027912C" w14:textId="57057CF6" w:rsidR="00031A4A" w:rsidRPr="008B09CF" w:rsidRDefault="001E5127" w:rsidP="001E5127">
      <w:pPr>
        <w:pStyle w:val="Titulek"/>
        <w:rPr>
          <w:rFonts w:ascii="Arial" w:hAnsi="Arial" w:cs="Arial"/>
          <w:color w:val="333333"/>
          <w:shd w:val="clear" w:color="auto" w:fill="FFFFFF"/>
          <w:lang w:val="cs-CZ"/>
        </w:rPr>
      </w:pPr>
      <w:r w:rsidRPr="008B09CF">
        <w:rPr>
          <w:lang w:val="cs-CZ"/>
        </w:rPr>
        <w:t xml:space="preserve">Tab. </w:t>
      </w:r>
      <w:r w:rsidR="00FC5A90" w:rsidRPr="008B09CF">
        <w:rPr>
          <w:lang w:val="cs-CZ"/>
        </w:rPr>
        <w:fldChar w:fldCharType="begin"/>
      </w:r>
      <w:r w:rsidR="00FC5A90" w:rsidRPr="008B09CF">
        <w:rPr>
          <w:lang w:val="cs-CZ"/>
        </w:rPr>
        <w:instrText xml:space="preserve"> SEQ Tab. \* ARABIC </w:instrText>
      </w:r>
      <w:r w:rsidR="00FC5A90" w:rsidRPr="008B09CF">
        <w:rPr>
          <w:lang w:val="cs-CZ"/>
        </w:rPr>
        <w:fldChar w:fldCharType="separate"/>
      </w:r>
      <w:r w:rsidRPr="008B09CF">
        <w:rPr>
          <w:lang w:val="cs-CZ"/>
        </w:rPr>
        <w:t>3</w:t>
      </w:r>
      <w:r w:rsidR="00FC5A90" w:rsidRPr="008B09CF">
        <w:rPr>
          <w:lang w:val="cs-CZ"/>
        </w:rPr>
        <w:fldChar w:fldCharType="end"/>
      </w:r>
      <w:r w:rsidR="005170F8" w:rsidRPr="008B09CF">
        <w:rPr>
          <w:lang w:val="cs-CZ"/>
        </w:rPr>
        <w:t>: Popisné statistiky (Kč/dítě, 2016)</w:t>
      </w:r>
    </w:p>
    <w:tbl>
      <w:tblPr>
        <w:tblStyle w:val="PlainTable2"/>
        <w:tblW w:w="9010" w:type="dxa"/>
        <w:tblLayout w:type="fixed"/>
        <w:tblLook w:val="06A0" w:firstRow="1" w:lastRow="0" w:firstColumn="1" w:lastColumn="0" w:noHBand="1" w:noVBand="1"/>
      </w:tblPr>
      <w:tblGrid>
        <w:gridCol w:w="1560"/>
        <w:gridCol w:w="833"/>
        <w:gridCol w:w="1433"/>
        <w:gridCol w:w="883"/>
        <w:gridCol w:w="963"/>
        <w:gridCol w:w="1433"/>
        <w:gridCol w:w="966"/>
        <w:gridCol w:w="939"/>
      </w:tblGrid>
      <w:tr w:rsidR="005170F8" w:rsidRPr="008B09CF" w14:paraId="5C00E3E3" w14:textId="77777777" w:rsidTr="0051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4989025" w14:textId="77777777" w:rsidR="00BF5F77" w:rsidRPr="008B09CF" w:rsidRDefault="00BF5F77" w:rsidP="006A029C">
            <w:pPr>
              <w:spacing w:line="240" w:lineRule="auto"/>
              <w:rPr>
                <w:rFonts w:eastAsia="Times New Roman" w:cs="Times New Roman"/>
                <w:sz w:val="20"/>
                <w:szCs w:val="24"/>
                <w:lang w:val="cs-CZ"/>
              </w:rPr>
            </w:pPr>
          </w:p>
        </w:tc>
        <w:tc>
          <w:tcPr>
            <w:tcW w:w="833" w:type="dxa"/>
            <w:noWrap/>
            <w:hideMark/>
          </w:tcPr>
          <w:p w14:paraId="3B58CBC2" w14:textId="51C308FF" w:rsidR="00BF5F77" w:rsidRPr="008B09CF" w:rsidRDefault="00BF5F77" w:rsidP="005170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Min</w:t>
            </w:r>
          </w:p>
        </w:tc>
        <w:tc>
          <w:tcPr>
            <w:tcW w:w="1433" w:type="dxa"/>
            <w:noWrap/>
            <w:hideMark/>
          </w:tcPr>
          <w:p w14:paraId="588DA3F9" w14:textId="7576E778" w:rsidR="00BF5F77" w:rsidRPr="008B09CF" w:rsidRDefault="00BF5F77" w:rsidP="00BF5F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Percentil 25%</w:t>
            </w:r>
          </w:p>
        </w:tc>
        <w:tc>
          <w:tcPr>
            <w:tcW w:w="883" w:type="dxa"/>
            <w:noWrap/>
            <w:hideMark/>
          </w:tcPr>
          <w:p w14:paraId="4CD860C5" w14:textId="75635226" w:rsidR="00BF5F77" w:rsidRPr="008B09CF" w:rsidRDefault="00BF5F77" w:rsidP="00BF5F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Průměr</w:t>
            </w:r>
          </w:p>
        </w:tc>
        <w:tc>
          <w:tcPr>
            <w:tcW w:w="963" w:type="dxa"/>
            <w:noWrap/>
            <w:hideMark/>
          </w:tcPr>
          <w:p w14:paraId="24055330" w14:textId="77777777" w:rsidR="00BF5F77" w:rsidRPr="008B09CF" w:rsidRDefault="00BF5F77" w:rsidP="006A029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proofErr w:type="spellStart"/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Median</w:t>
            </w:r>
            <w:proofErr w:type="spellEnd"/>
          </w:p>
        </w:tc>
        <w:tc>
          <w:tcPr>
            <w:tcW w:w="1433" w:type="dxa"/>
            <w:noWrap/>
            <w:hideMark/>
          </w:tcPr>
          <w:p w14:paraId="7B55284F" w14:textId="324C3F38" w:rsidR="00BF5F77" w:rsidRPr="008B09CF" w:rsidRDefault="00BF5F77" w:rsidP="00BF5F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Percentil 75%</w:t>
            </w:r>
          </w:p>
        </w:tc>
        <w:tc>
          <w:tcPr>
            <w:tcW w:w="966" w:type="dxa"/>
            <w:noWrap/>
            <w:hideMark/>
          </w:tcPr>
          <w:p w14:paraId="0CF850AB" w14:textId="679DAC1D" w:rsidR="00BF5F77" w:rsidRPr="008B09CF" w:rsidRDefault="00BF5F77" w:rsidP="005170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Max</w:t>
            </w:r>
          </w:p>
        </w:tc>
        <w:tc>
          <w:tcPr>
            <w:tcW w:w="939" w:type="dxa"/>
            <w:noWrap/>
            <w:hideMark/>
          </w:tcPr>
          <w:p w14:paraId="2D3B6E3D" w14:textId="77777777" w:rsidR="00BF5F77" w:rsidRPr="008B09CF" w:rsidRDefault="00BF5F77" w:rsidP="006A029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proofErr w:type="spellStart"/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Std.Dev</w:t>
            </w:r>
            <w:proofErr w:type="spellEnd"/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.</w:t>
            </w:r>
          </w:p>
        </w:tc>
      </w:tr>
      <w:tr w:rsidR="005170F8" w:rsidRPr="008B09CF" w14:paraId="74839E97" w14:textId="77777777" w:rsidTr="005170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933717B" w14:textId="0BDA25FD" w:rsidR="00BF5F77" w:rsidRPr="008B09CF" w:rsidRDefault="005170F8" w:rsidP="005170F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Transfery</w:t>
            </w:r>
          </w:p>
        </w:tc>
        <w:tc>
          <w:tcPr>
            <w:tcW w:w="833" w:type="dxa"/>
            <w:noWrap/>
            <w:vAlign w:val="center"/>
            <w:hideMark/>
          </w:tcPr>
          <w:p w14:paraId="37BAA402" w14:textId="1E28834A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0*</w:t>
            </w:r>
          </w:p>
        </w:tc>
        <w:tc>
          <w:tcPr>
            <w:tcW w:w="1433" w:type="dxa"/>
            <w:noWrap/>
            <w:vAlign w:val="center"/>
            <w:hideMark/>
          </w:tcPr>
          <w:p w14:paraId="0E32A25E" w14:textId="322991D8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7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857</w:t>
            </w:r>
          </w:p>
        </w:tc>
        <w:tc>
          <w:tcPr>
            <w:tcW w:w="883" w:type="dxa"/>
            <w:noWrap/>
            <w:vAlign w:val="center"/>
            <w:hideMark/>
          </w:tcPr>
          <w:p w14:paraId="478BA81F" w14:textId="0E37FCFE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10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955</w:t>
            </w:r>
          </w:p>
        </w:tc>
        <w:tc>
          <w:tcPr>
            <w:tcW w:w="963" w:type="dxa"/>
            <w:noWrap/>
            <w:vAlign w:val="center"/>
            <w:hideMark/>
          </w:tcPr>
          <w:p w14:paraId="53BD7B09" w14:textId="7CEE23A0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10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453</w:t>
            </w:r>
          </w:p>
        </w:tc>
        <w:tc>
          <w:tcPr>
            <w:tcW w:w="1433" w:type="dxa"/>
            <w:noWrap/>
            <w:vAlign w:val="center"/>
            <w:hideMark/>
          </w:tcPr>
          <w:p w14:paraId="2725F6F1" w14:textId="272F7539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13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514</w:t>
            </w:r>
          </w:p>
        </w:tc>
        <w:tc>
          <w:tcPr>
            <w:tcW w:w="966" w:type="dxa"/>
            <w:noWrap/>
            <w:vAlign w:val="center"/>
            <w:hideMark/>
          </w:tcPr>
          <w:p w14:paraId="767F39E3" w14:textId="794F6D69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31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250</w:t>
            </w:r>
          </w:p>
        </w:tc>
        <w:tc>
          <w:tcPr>
            <w:tcW w:w="939" w:type="dxa"/>
            <w:noWrap/>
            <w:vAlign w:val="center"/>
            <w:hideMark/>
          </w:tcPr>
          <w:p w14:paraId="09DCBE77" w14:textId="12936637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4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686</w:t>
            </w:r>
          </w:p>
        </w:tc>
      </w:tr>
      <w:tr w:rsidR="005170F8" w:rsidRPr="008B09CF" w14:paraId="17D5CFE6" w14:textId="77777777" w:rsidTr="005170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867EC01" w14:textId="1C2C9389" w:rsidR="00BF5F77" w:rsidRPr="008B09CF" w:rsidRDefault="005170F8" w:rsidP="005170F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Ostatní běžné výdaje</w:t>
            </w:r>
          </w:p>
        </w:tc>
        <w:tc>
          <w:tcPr>
            <w:tcW w:w="833" w:type="dxa"/>
            <w:noWrap/>
            <w:vAlign w:val="center"/>
            <w:hideMark/>
          </w:tcPr>
          <w:p w14:paraId="3AA397F0" w14:textId="378D86EA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-6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781*</w:t>
            </w:r>
          </w:p>
        </w:tc>
        <w:tc>
          <w:tcPr>
            <w:tcW w:w="1433" w:type="dxa"/>
            <w:noWrap/>
            <w:vAlign w:val="center"/>
            <w:hideMark/>
          </w:tcPr>
          <w:p w14:paraId="3108B159" w14:textId="4E113D0E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14:paraId="35887109" w14:textId="0D834B27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2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854</w:t>
            </w:r>
          </w:p>
        </w:tc>
        <w:tc>
          <w:tcPr>
            <w:tcW w:w="963" w:type="dxa"/>
            <w:noWrap/>
            <w:vAlign w:val="center"/>
            <w:hideMark/>
          </w:tcPr>
          <w:p w14:paraId="4E65279B" w14:textId="5E23A183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514</w:t>
            </w:r>
          </w:p>
        </w:tc>
        <w:tc>
          <w:tcPr>
            <w:tcW w:w="1433" w:type="dxa"/>
            <w:noWrap/>
            <w:vAlign w:val="center"/>
            <w:hideMark/>
          </w:tcPr>
          <w:p w14:paraId="19AD4E23" w14:textId="5C2FC912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2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772</w:t>
            </w:r>
          </w:p>
        </w:tc>
        <w:tc>
          <w:tcPr>
            <w:tcW w:w="966" w:type="dxa"/>
            <w:noWrap/>
            <w:vAlign w:val="center"/>
            <w:hideMark/>
          </w:tcPr>
          <w:p w14:paraId="289B4C9D" w14:textId="6854F488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164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952*</w:t>
            </w:r>
          </w:p>
        </w:tc>
        <w:tc>
          <w:tcPr>
            <w:tcW w:w="939" w:type="dxa"/>
            <w:noWrap/>
            <w:vAlign w:val="center"/>
            <w:hideMark/>
          </w:tcPr>
          <w:p w14:paraId="68D6E9D7" w14:textId="5027D226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10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063</w:t>
            </w:r>
          </w:p>
        </w:tc>
      </w:tr>
      <w:tr w:rsidR="005170F8" w:rsidRPr="008B09CF" w14:paraId="20FE2915" w14:textId="77777777" w:rsidTr="005170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0956886" w14:textId="627E67E5" w:rsidR="00BF5F77" w:rsidRPr="008B09CF" w:rsidRDefault="005170F8" w:rsidP="00BF5F7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Běžné výdaje</w:t>
            </w:r>
          </w:p>
        </w:tc>
        <w:tc>
          <w:tcPr>
            <w:tcW w:w="833" w:type="dxa"/>
            <w:noWrap/>
            <w:vAlign w:val="center"/>
            <w:hideMark/>
          </w:tcPr>
          <w:p w14:paraId="300131DA" w14:textId="163DDDDA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3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244</w:t>
            </w:r>
          </w:p>
        </w:tc>
        <w:tc>
          <w:tcPr>
            <w:tcW w:w="1433" w:type="dxa"/>
            <w:noWrap/>
            <w:vAlign w:val="center"/>
            <w:hideMark/>
          </w:tcPr>
          <w:p w14:paraId="38E239C2" w14:textId="636BBC99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9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375</w:t>
            </w:r>
          </w:p>
        </w:tc>
        <w:tc>
          <w:tcPr>
            <w:tcW w:w="883" w:type="dxa"/>
            <w:noWrap/>
            <w:vAlign w:val="center"/>
            <w:hideMark/>
          </w:tcPr>
          <w:p w14:paraId="59CE9ED7" w14:textId="7AD08E5D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13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809</w:t>
            </w:r>
          </w:p>
        </w:tc>
        <w:tc>
          <w:tcPr>
            <w:tcW w:w="963" w:type="dxa"/>
            <w:noWrap/>
            <w:vAlign w:val="center"/>
            <w:hideMark/>
          </w:tcPr>
          <w:p w14:paraId="66B0965D" w14:textId="7702C9EB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12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269</w:t>
            </w:r>
          </w:p>
        </w:tc>
        <w:tc>
          <w:tcPr>
            <w:tcW w:w="1433" w:type="dxa"/>
            <w:noWrap/>
            <w:vAlign w:val="center"/>
            <w:hideMark/>
          </w:tcPr>
          <w:p w14:paraId="1F855C15" w14:textId="05BDFC66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15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896</w:t>
            </w:r>
          </w:p>
        </w:tc>
        <w:tc>
          <w:tcPr>
            <w:tcW w:w="966" w:type="dxa"/>
            <w:noWrap/>
            <w:vAlign w:val="center"/>
            <w:hideMark/>
          </w:tcPr>
          <w:p w14:paraId="5A2A537D" w14:textId="130D8B88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172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247</w:t>
            </w:r>
          </w:p>
        </w:tc>
        <w:tc>
          <w:tcPr>
            <w:tcW w:w="939" w:type="dxa"/>
            <w:noWrap/>
            <w:vAlign w:val="center"/>
            <w:hideMark/>
          </w:tcPr>
          <w:p w14:paraId="24D1D5A7" w14:textId="48C4CE6A" w:rsidR="00BF5F77" w:rsidRPr="008B09CF" w:rsidRDefault="00BF5F77" w:rsidP="00BF5F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10</w:t>
            </w:r>
            <w:r w:rsidR="005170F8"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8B09CF">
              <w:rPr>
                <w:rFonts w:cs="Times New Roman"/>
                <w:color w:val="000000"/>
                <w:sz w:val="20"/>
                <w:szCs w:val="20"/>
                <w:lang w:val="cs-CZ"/>
              </w:rPr>
              <w:t>612</w:t>
            </w:r>
          </w:p>
        </w:tc>
      </w:tr>
    </w:tbl>
    <w:p w14:paraId="45F61CA2" w14:textId="2B962DDC" w:rsidR="00BF5F77" w:rsidRPr="008B09CF" w:rsidRDefault="00BF5F77" w:rsidP="005170F8">
      <w:pPr>
        <w:spacing w:line="240" w:lineRule="auto"/>
        <w:rPr>
          <w:sz w:val="20"/>
          <w:lang w:val="cs-CZ"/>
        </w:rPr>
      </w:pPr>
      <w:r w:rsidRPr="008B09CF">
        <w:rPr>
          <w:sz w:val="20"/>
          <w:lang w:val="cs-CZ"/>
        </w:rPr>
        <w:t xml:space="preserve">Pramen: Pramen: Normativní schválený rozpočet pro rok 2017 (obecní školy a škol. </w:t>
      </w:r>
      <w:proofErr w:type="gramStart"/>
      <w:r w:rsidRPr="008B09CF">
        <w:rPr>
          <w:sz w:val="20"/>
          <w:lang w:val="cs-CZ"/>
        </w:rPr>
        <w:t>zařízení</w:t>
      </w:r>
      <w:proofErr w:type="gramEnd"/>
      <w:r w:rsidRPr="008B09CF">
        <w:rPr>
          <w:sz w:val="20"/>
          <w:lang w:val="cs-CZ"/>
        </w:rPr>
        <w:t>), ARES, Monitor</w:t>
      </w:r>
    </w:p>
    <w:p w14:paraId="4090F502" w14:textId="6AF6D7F0" w:rsidR="0064584D" w:rsidRPr="008B09CF" w:rsidRDefault="001E5127" w:rsidP="00BF5F77">
      <w:pPr>
        <w:rPr>
          <w:sz w:val="20"/>
          <w:lang w:val="cs-CZ"/>
        </w:rPr>
      </w:pPr>
      <w:r w:rsidRPr="008B09CF">
        <w:rPr>
          <w:sz w:val="20"/>
          <w:lang w:val="cs-CZ"/>
        </w:rPr>
        <w:t>Pozn.:* popisné statistiky ukazují, že ne všechny účetní údaje dávají věcný smysl.</w:t>
      </w:r>
      <w:r w:rsidR="00BF5F77" w:rsidRPr="008B09CF">
        <w:rPr>
          <w:sz w:val="20"/>
          <w:lang w:val="cs-CZ"/>
        </w:rPr>
        <w:t xml:space="preserve"> Tyto hodnoty jsou způsobeny zaúčtováním v jiném roce nebo </w:t>
      </w:r>
      <w:proofErr w:type="spellStart"/>
      <w:r w:rsidR="00BF5F77" w:rsidRPr="008B09CF">
        <w:rPr>
          <w:sz w:val="20"/>
          <w:lang w:val="cs-CZ"/>
        </w:rPr>
        <w:t>význemné</w:t>
      </w:r>
      <w:proofErr w:type="spellEnd"/>
      <w:r w:rsidR="00BF5F77" w:rsidRPr="008B09CF">
        <w:rPr>
          <w:sz w:val="20"/>
          <w:lang w:val="cs-CZ"/>
        </w:rPr>
        <w:t xml:space="preserve"> opravy, která neměla účetně charakter investice</w:t>
      </w:r>
      <w:r w:rsidR="005170F8" w:rsidRPr="008B09CF">
        <w:rPr>
          <w:sz w:val="20"/>
          <w:lang w:val="cs-CZ"/>
        </w:rPr>
        <w:t xml:space="preserve"> (kapitálové výdaje)</w:t>
      </w:r>
      <w:r w:rsidR="00BF5F77" w:rsidRPr="008B09CF">
        <w:rPr>
          <w:sz w:val="20"/>
          <w:lang w:val="cs-CZ"/>
        </w:rPr>
        <w:t>.</w:t>
      </w:r>
    </w:p>
    <w:p w14:paraId="3E3FAF0B" w14:textId="7B6CDE9C" w:rsidR="00EB32E1" w:rsidRPr="008B09CF" w:rsidRDefault="001E5127" w:rsidP="00EB32E1">
      <w:pPr>
        <w:pStyle w:val="Titulek"/>
        <w:rPr>
          <w:rFonts w:cs="Times New Roman"/>
          <w:szCs w:val="24"/>
          <w:lang w:val="cs-CZ"/>
        </w:rPr>
      </w:pPr>
      <w:r w:rsidRPr="008B09CF">
        <w:rPr>
          <w:lang w:val="cs-CZ"/>
        </w:rPr>
        <w:t xml:space="preserve">Obr. </w:t>
      </w:r>
      <w:r w:rsidR="00FC5A90" w:rsidRPr="008B09CF">
        <w:rPr>
          <w:lang w:val="cs-CZ"/>
        </w:rPr>
        <w:fldChar w:fldCharType="begin"/>
      </w:r>
      <w:r w:rsidR="00FC5A90" w:rsidRPr="008B09CF">
        <w:rPr>
          <w:lang w:val="cs-CZ"/>
        </w:rPr>
        <w:instrText xml:space="preserve"> SEQ Obr. \* ARABIC </w:instrText>
      </w:r>
      <w:r w:rsidR="00FC5A90" w:rsidRPr="008B09CF">
        <w:rPr>
          <w:lang w:val="cs-CZ"/>
        </w:rPr>
        <w:fldChar w:fldCharType="separate"/>
      </w:r>
      <w:r w:rsidRPr="008B09CF">
        <w:rPr>
          <w:lang w:val="cs-CZ"/>
        </w:rPr>
        <w:t>5</w:t>
      </w:r>
      <w:r w:rsidR="00FC5A90" w:rsidRPr="008B09CF">
        <w:rPr>
          <w:lang w:val="cs-CZ"/>
        </w:rPr>
        <w:fldChar w:fldCharType="end"/>
      </w:r>
      <w:r w:rsidR="00EB32E1" w:rsidRPr="008B09CF">
        <w:rPr>
          <w:lang w:val="cs-CZ"/>
        </w:rPr>
        <w:t>: Počet obcí s danou výší běžných výdajů na MŠ – četnost podle počtu</w:t>
      </w:r>
      <w:r w:rsidR="00EB32E1" w:rsidRPr="008B09CF">
        <w:rPr>
          <w:rFonts w:cs="Times New Roman"/>
          <w:szCs w:val="24"/>
          <w:lang w:val="cs-CZ"/>
        </w:rPr>
        <w:t xml:space="preserve"> dětí navštěvujících MŠ v obci (Kč/dítě, 2016)</w:t>
      </w:r>
    </w:p>
    <w:p w14:paraId="5F9B81D9" w14:textId="72CC2E73" w:rsidR="00013A8A" w:rsidRPr="008B09CF" w:rsidRDefault="004F580D" w:rsidP="00C96F3D">
      <w:pPr>
        <w:jc w:val="both"/>
        <w:rPr>
          <w:lang w:val="cs-CZ"/>
        </w:rPr>
      </w:pPr>
      <w:r w:rsidRPr="008B09CF">
        <w:rPr>
          <w:noProof/>
          <w:lang w:val="cs-CZ" w:eastAsia="cs-CZ"/>
        </w:rPr>
        <w:drawing>
          <wp:inline distT="0" distB="0" distL="0" distR="0" wp14:anchorId="04871E8C" wp14:editId="12054A9C">
            <wp:extent cx="5436000" cy="4075802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0" cy="407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5A7B8" w14:textId="77777777" w:rsidR="00EB32E1" w:rsidRPr="008B09CF" w:rsidRDefault="00EB32E1" w:rsidP="00EB32E1">
      <w:pPr>
        <w:rPr>
          <w:sz w:val="20"/>
          <w:lang w:val="cs-CZ"/>
        </w:rPr>
      </w:pPr>
      <w:r w:rsidRPr="008B09CF">
        <w:rPr>
          <w:sz w:val="20"/>
          <w:lang w:val="cs-CZ"/>
        </w:rPr>
        <w:t xml:space="preserve">Pramen: Pramen: Normativní schválený rozpočet pro rok 2017 (obecní školy a škol. </w:t>
      </w:r>
      <w:proofErr w:type="gramStart"/>
      <w:r w:rsidRPr="008B09CF">
        <w:rPr>
          <w:sz w:val="20"/>
          <w:lang w:val="cs-CZ"/>
        </w:rPr>
        <w:t>zařízení</w:t>
      </w:r>
      <w:proofErr w:type="gramEnd"/>
      <w:r w:rsidRPr="008B09CF">
        <w:rPr>
          <w:sz w:val="20"/>
          <w:lang w:val="cs-CZ"/>
        </w:rPr>
        <w:t>), ARES, Monitor</w:t>
      </w:r>
    </w:p>
    <w:p w14:paraId="1E1EE29F" w14:textId="45E9BCC5" w:rsidR="00EB32E1" w:rsidRPr="008B09CF" w:rsidRDefault="005170F8" w:rsidP="005170F8">
      <w:pPr>
        <w:rPr>
          <w:b/>
          <w:lang w:val="cs-CZ"/>
        </w:rPr>
      </w:pPr>
      <w:r w:rsidRPr="008B09CF">
        <w:rPr>
          <w:b/>
          <w:lang w:val="cs-CZ"/>
        </w:rPr>
        <w:lastRenderedPageBreak/>
        <w:t>Závěr</w:t>
      </w:r>
    </w:p>
    <w:p w14:paraId="32FBA4D0" w14:textId="3BE8ABC7" w:rsidR="005170F8" w:rsidRPr="008B09CF" w:rsidRDefault="005170F8" w:rsidP="005170F8">
      <w:pPr>
        <w:jc w:val="both"/>
        <w:rPr>
          <w:lang w:val="cs-CZ"/>
        </w:rPr>
      </w:pPr>
      <w:r w:rsidRPr="008B09CF">
        <w:rPr>
          <w:lang w:val="cs-CZ"/>
        </w:rPr>
        <w:t>Provedená analýza financování MŠ ve středočeském kraji ukázala, že většina obcí přispívá, po zohlednění příjmu z rozpočtového určení daní navázaného na dítě zapsané v mateřské škole, do 5 tisíc Kč na dítě ročně. Mezi obcemi jsou samozřejmě značné rozdíly a roční účetní údaje nejsou pro tuto analýzu vždy zcela spolehlivé. Přesto se domnívám, že obce, které zřizují MŠ a znají přesně výši svých běžných výdajů na jejich provoz, budou po</w:t>
      </w:r>
      <w:r w:rsidR="00943975" w:rsidRPr="008B09CF">
        <w:rPr>
          <w:lang w:val="cs-CZ"/>
        </w:rPr>
        <w:t>dporu mikrojeslí pro děti od dvou let odvozovat právě od těchto výdajů.</w:t>
      </w:r>
    </w:p>
    <w:p w14:paraId="6812CD74" w14:textId="5E9052D9" w:rsidR="00943975" w:rsidRPr="008B09CF" w:rsidRDefault="00943975" w:rsidP="005170F8">
      <w:pPr>
        <w:jc w:val="both"/>
        <w:rPr>
          <w:b/>
          <w:lang w:val="cs-CZ"/>
        </w:rPr>
      </w:pPr>
      <w:r w:rsidRPr="008B09CF">
        <w:rPr>
          <w:b/>
          <w:lang w:val="cs-CZ"/>
        </w:rPr>
        <w:t>Zdroje</w:t>
      </w:r>
    </w:p>
    <w:p w14:paraId="392C711E" w14:textId="3512599E" w:rsidR="00943975" w:rsidRPr="008B09CF" w:rsidRDefault="00943975" w:rsidP="00943975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szCs w:val="24"/>
          <w:lang w:val="cs-CZ"/>
        </w:rPr>
      </w:pPr>
      <w:r w:rsidRPr="008B09CF">
        <w:rPr>
          <w:szCs w:val="24"/>
          <w:lang w:val="cs-CZ"/>
        </w:rPr>
        <w:t xml:space="preserve">Středočeský kraj, Normativní schválený rozpočet pro rok 2017 (obecní školy a škol. </w:t>
      </w:r>
      <w:proofErr w:type="gramStart"/>
      <w:r w:rsidRPr="008B09CF">
        <w:rPr>
          <w:szCs w:val="24"/>
          <w:lang w:val="cs-CZ"/>
        </w:rPr>
        <w:t>zařízení</w:t>
      </w:r>
      <w:proofErr w:type="gramEnd"/>
      <w:r w:rsidRPr="008B09CF">
        <w:rPr>
          <w:szCs w:val="24"/>
          <w:lang w:val="cs-CZ"/>
        </w:rPr>
        <w:t>)</w:t>
      </w:r>
      <w:r w:rsidRPr="008B09CF">
        <w:rPr>
          <w:rFonts w:eastAsia="Times New Roman" w:cs="Times New Roman"/>
          <w:color w:val="184195"/>
          <w:szCs w:val="24"/>
          <w:u w:val="single"/>
          <w:lang w:val="cs-CZ"/>
        </w:rPr>
        <w:t xml:space="preserve">, </w:t>
      </w:r>
      <w:r w:rsidRPr="008B09CF">
        <w:rPr>
          <w:szCs w:val="24"/>
          <w:lang w:val="cs-CZ"/>
        </w:rPr>
        <w:t>https://www.kr-stredocesky.cz/web/skolstvi/ekonomika</w:t>
      </w:r>
    </w:p>
    <w:p w14:paraId="4FCAC6E2" w14:textId="120E9FB0" w:rsidR="00943975" w:rsidRPr="008B09CF" w:rsidRDefault="00943975" w:rsidP="00943975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color w:val="000000"/>
          <w:szCs w:val="24"/>
          <w:lang w:val="cs-CZ"/>
        </w:rPr>
      </w:pPr>
      <w:r w:rsidRPr="008B09CF">
        <w:rPr>
          <w:szCs w:val="24"/>
          <w:lang w:val="cs-CZ"/>
        </w:rPr>
        <w:t>Ministerstvo financí: ARES</w:t>
      </w:r>
      <w:r w:rsidRPr="008B09CF">
        <w:rPr>
          <w:rFonts w:eastAsia="Times New Roman" w:cs="Times New Roman"/>
          <w:color w:val="184195"/>
          <w:szCs w:val="24"/>
          <w:u w:val="single"/>
          <w:lang w:val="cs-CZ"/>
        </w:rPr>
        <w:t xml:space="preserve">, </w:t>
      </w:r>
      <w:r w:rsidRPr="008B09CF">
        <w:rPr>
          <w:szCs w:val="24"/>
          <w:lang w:val="cs-CZ"/>
        </w:rPr>
        <w:t>http://wwwinfo.mfcr.cz/ares/</w:t>
      </w:r>
    </w:p>
    <w:p w14:paraId="3A694842" w14:textId="7E1E6486" w:rsidR="00943975" w:rsidRPr="008B09CF" w:rsidRDefault="00943975" w:rsidP="00943975">
      <w:pPr>
        <w:pStyle w:val="Textpoznpodarou"/>
        <w:numPr>
          <w:ilvl w:val="0"/>
          <w:numId w:val="2"/>
        </w:numPr>
        <w:ind w:left="714" w:hanging="357"/>
        <w:rPr>
          <w:sz w:val="24"/>
          <w:szCs w:val="24"/>
          <w:lang w:val="cs-CZ"/>
        </w:rPr>
      </w:pPr>
      <w:proofErr w:type="spellStart"/>
      <w:r w:rsidRPr="008B09CF">
        <w:rPr>
          <w:sz w:val="24"/>
          <w:szCs w:val="24"/>
          <w:lang w:val="cs-CZ"/>
        </w:rPr>
        <w:t>Ministersvo</w:t>
      </w:r>
      <w:proofErr w:type="spellEnd"/>
      <w:r w:rsidRPr="008B09CF">
        <w:rPr>
          <w:sz w:val="24"/>
          <w:szCs w:val="24"/>
          <w:lang w:val="cs-CZ"/>
        </w:rPr>
        <w:t xml:space="preserve"> finance: Monitor, http://monitor.statnipokladna.cz/2016/</w:t>
      </w:r>
    </w:p>
    <w:p w14:paraId="7405D87A" w14:textId="228ECC24" w:rsidR="00943975" w:rsidRPr="008B09CF" w:rsidRDefault="00943975" w:rsidP="00943975">
      <w:pPr>
        <w:pStyle w:val="Textpoznpodarou"/>
        <w:numPr>
          <w:ilvl w:val="0"/>
          <w:numId w:val="2"/>
        </w:numPr>
        <w:ind w:left="714" w:hanging="357"/>
        <w:rPr>
          <w:sz w:val="24"/>
          <w:szCs w:val="24"/>
          <w:lang w:val="cs-CZ"/>
        </w:rPr>
      </w:pPr>
      <w:r w:rsidRPr="008B09CF">
        <w:rPr>
          <w:sz w:val="24"/>
          <w:szCs w:val="24"/>
          <w:lang w:val="cs-CZ"/>
        </w:rPr>
        <w:t xml:space="preserve">Český statistický úřad: Počet obyvatel v obcích, https://www.czso.cz/csu/czso/pocet-obyvatel-v-obcich, k </w:t>
      </w:r>
      <w:proofErr w:type="gramStart"/>
      <w:r w:rsidRPr="008B09CF">
        <w:rPr>
          <w:sz w:val="24"/>
          <w:szCs w:val="24"/>
          <w:lang w:val="cs-CZ"/>
        </w:rPr>
        <w:t>1.1.2016</w:t>
      </w:r>
      <w:proofErr w:type="gramEnd"/>
    </w:p>
    <w:p w14:paraId="037BC39B" w14:textId="77777777" w:rsidR="00943975" w:rsidRPr="008B09CF" w:rsidRDefault="00943975" w:rsidP="005170F8">
      <w:pPr>
        <w:jc w:val="both"/>
        <w:rPr>
          <w:b/>
          <w:lang w:val="cs-CZ"/>
        </w:rPr>
      </w:pPr>
    </w:p>
    <w:p w14:paraId="26C68997" w14:textId="02975A9C" w:rsidR="00943975" w:rsidRPr="008B09CF" w:rsidRDefault="00943975" w:rsidP="005170F8">
      <w:pPr>
        <w:jc w:val="both"/>
        <w:rPr>
          <w:b/>
          <w:lang w:val="cs-CZ"/>
        </w:rPr>
      </w:pPr>
      <w:r w:rsidRPr="008B09CF">
        <w:rPr>
          <w:b/>
          <w:lang w:val="cs-CZ"/>
        </w:rPr>
        <w:t>Příloha: Postup zpracování analýzy</w:t>
      </w:r>
    </w:p>
    <w:p w14:paraId="7F8A050D" w14:textId="6B1FACD6" w:rsidR="00943975" w:rsidRPr="008B09CF" w:rsidRDefault="00943975" w:rsidP="005170F8">
      <w:pPr>
        <w:jc w:val="both"/>
        <w:rPr>
          <w:lang w:val="cs-CZ"/>
        </w:rPr>
      </w:pPr>
      <w:r w:rsidRPr="008B09CF">
        <w:rPr>
          <w:lang w:val="cs-CZ"/>
        </w:rPr>
        <w:t>Z Normativního schváleného rozpočtu obecních škol a školských zařízení Středočeského kraje pro rok 2017 byl vytvořen seznam všech příspěvkových organizací, které získaly normativní financování v paragrafu 3111 Mateřské školy. Tento seznam pro každou příspěvkovou organizaci obsahoval IČO, počet dětí, výši normativem stanovených neinvestičních výdajů a informaci o tom, zda se jedná pouze o MŠ nebo společnou MŠ a ZŠ.</w:t>
      </w:r>
    </w:p>
    <w:p w14:paraId="39368C99" w14:textId="68A96623" w:rsidR="00943975" w:rsidRPr="008B09CF" w:rsidRDefault="00943975" w:rsidP="005170F8">
      <w:pPr>
        <w:jc w:val="both"/>
        <w:rPr>
          <w:lang w:val="cs-CZ"/>
        </w:rPr>
      </w:pPr>
      <w:r w:rsidRPr="008B09CF">
        <w:rPr>
          <w:lang w:val="cs-CZ"/>
        </w:rPr>
        <w:t>Z databáze Monitor byly vygenerovány dvě datové sady: výdaje jednotlivých obcí ve Středočeském kraji na paragraf 3111 Mateřské školy a to v podrobném druhovém členění. Tyto výdaje byly rozčleněny do tří skupin: transfery (podseskupení položek 533),</w:t>
      </w:r>
      <w:r w:rsidR="006D25F3" w:rsidRPr="008B09CF">
        <w:rPr>
          <w:lang w:val="cs-CZ"/>
        </w:rPr>
        <w:t xml:space="preserve"> </w:t>
      </w:r>
      <w:r w:rsidRPr="008B09CF">
        <w:rPr>
          <w:lang w:val="cs-CZ"/>
        </w:rPr>
        <w:t>ostatní běžné výdaje (třída 5 bez podseskupení položek 533) a kapitálové výdaje (třída 6).</w:t>
      </w:r>
    </w:p>
    <w:p w14:paraId="779AB951" w14:textId="3A595497" w:rsidR="00943975" w:rsidRPr="008B09CF" w:rsidRDefault="00943975" w:rsidP="005170F8">
      <w:pPr>
        <w:jc w:val="both"/>
        <w:rPr>
          <w:lang w:val="cs-CZ"/>
        </w:rPr>
      </w:pPr>
      <w:r w:rsidRPr="008B09CF">
        <w:rPr>
          <w:lang w:val="cs-CZ"/>
        </w:rPr>
        <w:t xml:space="preserve">Z databáze Monitor byly dále vygenerovány pro jednotlivé příspěvkové organizace </w:t>
      </w:r>
      <w:r w:rsidR="006D25F3" w:rsidRPr="008B09CF">
        <w:rPr>
          <w:lang w:val="cs-CZ"/>
        </w:rPr>
        <w:t xml:space="preserve">celkové výnosy a jejich hlavní složky. Tyto informace byly porovnány s údaji z normativního rozpočtu. Vzhledem k ohromnému množství nelogických hodnot způsobených porovnáváním neporovnatelného, tj. rozpočtu na principu cash účetnictví a účetních výkazů sestavených </w:t>
      </w:r>
      <w:proofErr w:type="spellStart"/>
      <w:r w:rsidR="006D25F3" w:rsidRPr="008B09CF">
        <w:rPr>
          <w:lang w:val="cs-CZ"/>
        </w:rPr>
        <w:t>akruálně</w:t>
      </w:r>
      <w:proofErr w:type="spellEnd"/>
      <w:r w:rsidR="006D25F3" w:rsidRPr="008B09CF">
        <w:rPr>
          <w:lang w:val="cs-CZ"/>
        </w:rPr>
        <w:t>, nebyly nakonec tyto údaje pro výše uvedenou analýzu použity.</w:t>
      </w:r>
    </w:p>
    <w:p w14:paraId="10CE65E6" w14:textId="63B21519" w:rsidR="006D25F3" w:rsidRPr="008B09CF" w:rsidRDefault="006D25F3" w:rsidP="005170F8">
      <w:pPr>
        <w:jc w:val="both"/>
        <w:rPr>
          <w:lang w:val="cs-CZ"/>
        </w:rPr>
      </w:pPr>
      <w:r w:rsidRPr="008B09CF">
        <w:rPr>
          <w:lang w:val="cs-CZ"/>
        </w:rPr>
        <w:lastRenderedPageBreak/>
        <w:t xml:space="preserve">V programu MS Excel bylo vytvořeno makro, které umožnilo získat pro každou z 677 příspěvkových organizací dodatečné informace z databáze ARES (Registr ekonomických subjektů). Konkrétně se jednalo o obec, kde má organizace sídlo a kód této obce ZUJ. </w:t>
      </w:r>
    </w:p>
    <w:p w14:paraId="40000F02" w14:textId="7DE78EBA" w:rsidR="006D25F3" w:rsidRPr="008B09CF" w:rsidRDefault="006D25F3" w:rsidP="005170F8">
      <w:pPr>
        <w:jc w:val="both"/>
        <w:rPr>
          <w:lang w:val="cs-CZ"/>
        </w:rPr>
      </w:pPr>
      <w:r w:rsidRPr="008B09CF">
        <w:rPr>
          <w:lang w:val="cs-CZ"/>
        </w:rPr>
        <w:t>Díky tomu bylo možné dopočítat ze seznamu příspěvkových organizací počet dětí navštěvujících mateřskou školu v jednotlivých obcích. Tento údaj dále umožnil určit výši výdajů na jedno dítě.</w:t>
      </w:r>
    </w:p>
    <w:p w14:paraId="375B73D3" w14:textId="58101288" w:rsidR="006D25F3" w:rsidRPr="008B09CF" w:rsidRDefault="006D25F3" w:rsidP="005170F8">
      <w:pPr>
        <w:jc w:val="both"/>
        <w:rPr>
          <w:lang w:val="cs-CZ"/>
        </w:rPr>
      </w:pPr>
      <w:r w:rsidRPr="008B09CF">
        <w:rPr>
          <w:lang w:val="cs-CZ"/>
        </w:rPr>
        <w:t xml:space="preserve">Průměrné transfery, ostatní běžné výdaje a běžné výdaje na jedno dítě byly spočteny pro 345 obcí, které provozují pouze samostatné mateřské školy. Výpočty byly provedeny v programu MS Excel a další analýzy v programu </w:t>
      </w:r>
      <w:proofErr w:type="spellStart"/>
      <w:r w:rsidRPr="008B09CF">
        <w:rPr>
          <w:lang w:val="cs-CZ"/>
        </w:rPr>
        <w:t>Statistica</w:t>
      </w:r>
      <w:proofErr w:type="spellEnd"/>
      <w:r w:rsidRPr="008B09CF">
        <w:rPr>
          <w:lang w:val="cs-CZ"/>
        </w:rPr>
        <w:t>. Jednalo se jednak o kontingenční tabulky a popisné statistiky. Dále pak o grafy podmíněných průměrů vč. provedení statistických testů jejich spolehlivosti a kategorizované histogramy.</w:t>
      </w:r>
    </w:p>
    <w:p w14:paraId="7BA3DD72" w14:textId="7776C251" w:rsidR="006D25F3" w:rsidRPr="008B09CF" w:rsidRDefault="006D25F3" w:rsidP="005170F8">
      <w:pPr>
        <w:jc w:val="both"/>
        <w:rPr>
          <w:lang w:val="cs-CZ"/>
        </w:rPr>
      </w:pPr>
      <w:r w:rsidRPr="008B09CF">
        <w:rPr>
          <w:lang w:val="cs-CZ"/>
        </w:rPr>
        <w:t>Omezení vstupních informací a jejich dopad na prezentované výsledky je uveden výše.</w:t>
      </w:r>
    </w:p>
    <w:sectPr w:rsidR="006D25F3" w:rsidRPr="008B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1CF21" w14:textId="77777777" w:rsidR="00A97B95" w:rsidRDefault="00A97B95" w:rsidP="00A97B95">
      <w:pPr>
        <w:spacing w:after="0" w:line="240" w:lineRule="auto"/>
      </w:pPr>
      <w:r>
        <w:separator/>
      </w:r>
    </w:p>
  </w:endnote>
  <w:endnote w:type="continuationSeparator" w:id="0">
    <w:p w14:paraId="55784EF7" w14:textId="77777777" w:rsidR="00A97B95" w:rsidRDefault="00A97B95" w:rsidP="00A9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41ABD" w14:textId="77777777" w:rsidR="00A97B95" w:rsidRDefault="00A97B95" w:rsidP="00A97B95">
      <w:pPr>
        <w:spacing w:after="0" w:line="240" w:lineRule="auto"/>
      </w:pPr>
      <w:r>
        <w:separator/>
      </w:r>
    </w:p>
  </w:footnote>
  <w:footnote w:type="continuationSeparator" w:id="0">
    <w:p w14:paraId="69B80168" w14:textId="77777777" w:rsidR="00A97B95" w:rsidRDefault="00A97B95" w:rsidP="00A97B95">
      <w:pPr>
        <w:spacing w:after="0" w:line="240" w:lineRule="auto"/>
      </w:pPr>
      <w:r>
        <w:continuationSeparator/>
      </w:r>
    </w:p>
  </w:footnote>
  <w:footnote w:id="1">
    <w:p w14:paraId="7EABFD28" w14:textId="74D9CC21" w:rsidR="00A97B95" w:rsidRPr="00A97B95" w:rsidRDefault="00A97B9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A97B95">
        <w:t>https://www.kr-stredocesky.cz/documents/20875/62743/Normativn%C3%AD%20schv%C3%A1len%C3%BD%20rozpo%C4%8Det+pro+rok+2017+%28obecn%C3%AD%20%C5%A1koly+a+%C5%A1kol.+za%C5%99%C3%ADzen%C3%AD%29.xlsx/f82ccf65-3b0f-449a-a240-f1cfea30514b</w:t>
      </w:r>
    </w:p>
  </w:footnote>
  <w:footnote w:id="2">
    <w:p w14:paraId="2234D5BD" w14:textId="321D2334" w:rsidR="0082221D" w:rsidRPr="0082221D" w:rsidRDefault="0082221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2221D">
        <w:t>http://wwwinfo.mfcr.cz/ares/</w:t>
      </w:r>
    </w:p>
  </w:footnote>
  <w:footnote w:id="3">
    <w:p w14:paraId="6F94AED2" w14:textId="1721FC11" w:rsidR="0082221D" w:rsidRPr="0082221D" w:rsidRDefault="0082221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2221D">
        <w:t>http://monitor.statnipokladna.cz/2016/</w:t>
      </w:r>
    </w:p>
  </w:footnote>
  <w:footnote w:id="4">
    <w:p w14:paraId="52700C4B" w14:textId="77D48858" w:rsidR="00BF5F77" w:rsidRPr="00BF5F77" w:rsidRDefault="00BF5F7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F5F77">
        <w:t>https://www.czso.cz/csu/czso/pocet-obyvatel-v-obcich</w:t>
      </w:r>
      <w:r>
        <w:t>, k 1.1.2016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F9D"/>
    <w:multiLevelType w:val="multilevel"/>
    <w:tmpl w:val="6C28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047D67"/>
    <w:multiLevelType w:val="hybridMultilevel"/>
    <w:tmpl w:val="68B8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2D"/>
    <w:rsid w:val="00013A8A"/>
    <w:rsid w:val="00031A4A"/>
    <w:rsid w:val="00037BA7"/>
    <w:rsid w:val="000A1C5A"/>
    <w:rsid w:val="000B7E5C"/>
    <w:rsid w:val="00110128"/>
    <w:rsid w:val="001546A2"/>
    <w:rsid w:val="001E5127"/>
    <w:rsid w:val="002D1B4B"/>
    <w:rsid w:val="00464AAE"/>
    <w:rsid w:val="00473D45"/>
    <w:rsid w:val="004F580D"/>
    <w:rsid w:val="005170F8"/>
    <w:rsid w:val="005968AE"/>
    <w:rsid w:val="0064584D"/>
    <w:rsid w:val="006A029C"/>
    <w:rsid w:val="006D25F3"/>
    <w:rsid w:val="006E6021"/>
    <w:rsid w:val="0082221D"/>
    <w:rsid w:val="00842B13"/>
    <w:rsid w:val="008B09CF"/>
    <w:rsid w:val="00943975"/>
    <w:rsid w:val="00A97B95"/>
    <w:rsid w:val="00BF5F77"/>
    <w:rsid w:val="00C96F3D"/>
    <w:rsid w:val="00CC18BF"/>
    <w:rsid w:val="00D66831"/>
    <w:rsid w:val="00DA382D"/>
    <w:rsid w:val="00EB32E1"/>
    <w:rsid w:val="00F63D2A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6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21D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ListTable6ColorfulAccent6">
    <w:name w:val="List Table 6 Colorful Accent 6"/>
    <w:basedOn w:val="Normlntabulka"/>
    <w:uiPriority w:val="51"/>
    <w:rsid w:val="002D1B4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6Colorful">
    <w:name w:val="List Table 6 Colorful"/>
    <w:basedOn w:val="Normlntabulka"/>
    <w:uiPriority w:val="51"/>
    <w:rsid w:val="002D1B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5968AE"/>
    <w:pPr>
      <w:keepNext/>
      <w:spacing w:after="200"/>
    </w:pPr>
    <w:rPr>
      <w:b/>
      <w:iCs/>
      <w:szCs w:val="18"/>
    </w:rPr>
  </w:style>
  <w:style w:type="character" w:styleId="Hypertextovodkaz">
    <w:name w:val="Hyperlink"/>
    <w:basedOn w:val="Standardnpsmoodstavce"/>
    <w:uiPriority w:val="99"/>
    <w:unhideWhenUsed/>
    <w:rsid w:val="00A97B9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7B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7B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7B95"/>
    <w:rPr>
      <w:vertAlign w:val="superscript"/>
    </w:rPr>
  </w:style>
  <w:style w:type="table" w:customStyle="1" w:styleId="PlainTable2">
    <w:name w:val="Plain Table 2"/>
    <w:basedOn w:val="Normlntabulka"/>
    <w:uiPriority w:val="42"/>
    <w:rsid w:val="008222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iln">
    <w:name w:val="Strong"/>
    <w:basedOn w:val="Standardnpsmoodstavce"/>
    <w:uiPriority w:val="22"/>
    <w:qFormat/>
    <w:rsid w:val="006E6021"/>
    <w:rPr>
      <w:b/>
      <w:bCs/>
    </w:rPr>
  </w:style>
  <w:style w:type="paragraph" w:styleId="Odstavecseseznamem">
    <w:name w:val="List Paragraph"/>
    <w:basedOn w:val="Normln"/>
    <w:uiPriority w:val="34"/>
    <w:qFormat/>
    <w:rsid w:val="009439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21D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ListTable6ColorfulAccent6">
    <w:name w:val="List Table 6 Colorful Accent 6"/>
    <w:basedOn w:val="Normlntabulka"/>
    <w:uiPriority w:val="51"/>
    <w:rsid w:val="002D1B4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6Colorful">
    <w:name w:val="List Table 6 Colorful"/>
    <w:basedOn w:val="Normlntabulka"/>
    <w:uiPriority w:val="51"/>
    <w:rsid w:val="002D1B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5968AE"/>
    <w:pPr>
      <w:keepNext/>
      <w:spacing w:after="200"/>
    </w:pPr>
    <w:rPr>
      <w:b/>
      <w:iCs/>
      <w:szCs w:val="18"/>
    </w:rPr>
  </w:style>
  <w:style w:type="character" w:styleId="Hypertextovodkaz">
    <w:name w:val="Hyperlink"/>
    <w:basedOn w:val="Standardnpsmoodstavce"/>
    <w:uiPriority w:val="99"/>
    <w:unhideWhenUsed/>
    <w:rsid w:val="00A97B9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7B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7B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7B95"/>
    <w:rPr>
      <w:vertAlign w:val="superscript"/>
    </w:rPr>
  </w:style>
  <w:style w:type="table" w:customStyle="1" w:styleId="PlainTable2">
    <w:name w:val="Plain Table 2"/>
    <w:basedOn w:val="Normlntabulka"/>
    <w:uiPriority w:val="42"/>
    <w:rsid w:val="008222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iln">
    <w:name w:val="Strong"/>
    <w:basedOn w:val="Standardnpsmoodstavce"/>
    <w:uiPriority w:val="22"/>
    <w:qFormat/>
    <w:rsid w:val="006E6021"/>
    <w:rPr>
      <w:b/>
      <w:bCs/>
    </w:rPr>
  </w:style>
  <w:style w:type="paragraph" w:styleId="Odstavecseseznamem">
    <w:name w:val="List Paragraph"/>
    <w:basedOn w:val="Normln"/>
    <w:uiPriority w:val="34"/>
    <w:qFormat/>
    <w:rsid w:val="009439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FE37-54A2-41AB-B10C-D6A52BDB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8095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Sedmihradská</dc:creator>
  <cp:lastModifiedBy>Chlebovská Jiřina (MPSV)</cp:lastModifiedBy>
  <cp:revision>2</cp:revision>
  <dcterms:created xsi:type="dcterms:W3CDTF">2017-11-13T07:23:00Z</dcterms:created>
  <dcterms:modified xsi:type="dcterms:W3CDTF">2017-11-13T07:23:00Z</dcterms:modified>
</cp:coreProperties>
</file>